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9860"/>
      </w:tblGrid>
      <w:tr>
        <w:trPr>
          <w:trHeight w:val="260" w:hRule="exact"/>
        </w:trPr>
        <w:tc>
          <w:tcPr>
            <w:tcW w:type="dxa" w:w="9860"/>
            <w:tcBorders>
              <w:top w:val="none" w:color="FFFFFF" w:sz="0"/>
              <w:left w:val="none" w:color="FFFFFF" w:sz="0"/>
              <w:bottom w:val="none" w:color="FFFFFF" w:sz="0"/>
              <w:right w:val="none" w:color="FFFFFF" w:sz="0"/>
            </w:tcBorders>
            <w:shd w:fill="D30D50" w:color="auto" w:val="clear"/>
            <w:tcMar>
              <w:top w:type="dxa" w:w="0"/>
              <w:left w:type="dxa" w:w="0"/>
              <w:bottom w:type="dxa" w:w="0"/>
              <w:right w:type="dxa" w:w="0"/>
            </w:tcMar>
          </w:tcPr>
          <w:p/>
        </w:tc>
      </w:tr>
    </w:tbl>
    <w:p>
      <w:pPr>
        <w:spacing w:after="520"/>
      </w:pPr>
    </w:p>
    <w:p>
      <w:pPr>
        <w:spacing w:after="200"/>
      </w:pPr>
      <w:r>
        <w:rPr>
          <w:rFonts w:ascii="Calibri" w:cs="Calibri" w:eastAsia="Calibri" w:hAnsi="Calibri"/>
          <w:b/>
          <w:bCs/>
          <w:color w:val="D30D50"/>
          <w:spacing w:val="36"/>
          <w:sz w:val="17"/>
          <w:szCs w:val="17"/>
        </w:rPr>
        <w:t xml:space="preserve">INFORMATION SECURITY   ·   GOVERNANCE FRAMEWORK</w:t>
      </w:r>
    </w:p>
    <w:p>
      <w:pPr>
        <w:spacing w:after="0"/>
      </w:pPr>
      <w:r>
        <w:rPr>
          <w:rFonts w:ascii="Calibri" w:cs="Calibri" w:eastAsia="Calibri" w:hAnsi="Calibri"/>
          <w:b/>
          <w:bCs/>
          <w:color w:val="152540"/>
          <w:sz w:val="64"/>
          <w:szCs w:val="64"/>
        </w:rPr>
        <w:t xml:space="preserve">Artificial Intelligence</w:t>
      </w:r>
    </w:p>
    <w:p>
      <w:pPr>
        <w:spacing w:after="180"/>
      </w:pPr>
      <w:r>
        <w:rPr>
          <w:rFonts w:ascii="Calibri" w:cs="Calibri" w:eastAsia="Calibri" w:hAnsi="Calibri"/>
          <w:b/>
          <w:bCs/>
          <w:color w:val="152540"/>
          <w:sz w:val="64"/>
          <w:szCs w:val="64"/>
        </w:rPr>
        <w:t xml:space="preserve">Security Policy</w:t>
      </w:r>
    </w:p>
    <w:tbl>
      <w:tblPr>
        <w:tblW w:type="dxa" w:w="2400"/>
        <w:tblBorders>
          <w:top w:val="none" w:color="FFFFFF" w:sz="0"/>
          <w:left w:val="none" w:color="FFFFFF" w:sz="0"/>
          <w:bottom w:val="none" w:color="FFFFFF" w:sz="0"/>
          <w:right w:val="none" w:color="FFFFFF" w:sz="0"/>
          <w:insideH w:val="none" w:color="FFFFFF" w:sz="0"/>
          <w:insideV w:val="none" w:color="FFFFFF" w:sz="0"/>
        </w:tblBorders>
      </w:tblPr>
      <w:tblGrid>
        <w:gridCol w:w="2400"/>
      </w:tblGrid>
      <w:tr>
        <w:trPr>
          <w:trHeight w:val="46" w:hRule="exact"/>
        </w:trPr>
        <w:tc>
          <w:tcPr>
            <w:tcW w:type="dxa" w:w="2400"/>
            <w:tcBorders>
              <w:top w:val="none" w:color="FFFFFF" w:sz="0"/>
              <w:left w:val="none" w:color="FFFFFF" w:sz="0"/>
              <w:bottom w:val="none" w:color="FFFFFF" w:sz="0"/>
              <w:right w:val="none" w:color="FFFFFF" w:sz="0"/>
            </w:tcBorders>
            <w:shd w:fill="D30D50" w:color="auto" w:val="clear"/>
            <w:tcMar>
              <w:top w:type="dxa" w:w="0"/>
              <w:left w:type="dxa" w:w="0"/>
              <w:bottom w:type="dxa" w:w="0"/>
              <w:right w:type="dxa" w:w="0"/>
            </w:tcMar>
          </w:tcPr>
          <w:p/>
        </w:tc>
      </w:tr>
    </w:tbl>
    <w:p>
      <w:pPr>
        <w:spacing w:after="200"/>
      </w:pPr>
    </w:p>
    <w:p>
      <w:pPr>
        <w:spacing w:after="60"/>
      </w:pPr>
      <w:r>
        <w:rPr>
          <w:rFonts w:ascii="Calibri" w:cs="Calibri" w:eastAsia="Calibri" w:hAnsi="Calibri"/>
          <w:color w:val="5A6472"/>
          <w:sz w:val="24"/>
          <w:szCs w:val="24"/>
        </w:rPr>
        <w:t xml:space="preserve">A reference structure for defining the security, governance, responsibilities</w:t>
      </w:r>
    </w:p>
    <w:p>
      <w:pPr>
        <w:spacing w:after="400"/>
      </w:pPr>
      <w:r>
        <w:rPr>
          <w:rFonts w:ascii="Calibri" w:cs="Calibri" w:eastAsia="Calibri" w:hAnsi="Calibri"/>
          <w:color w:val="5A6472"/>
          <w:sz w:val="24"/>
          <w:szCs w:val="24"/>
        </w:rPr>
        <w:t xml:space="preserve">and controls that govern the organisational use of artificial intelligence.</w:t>
      </w:r>
    </w:p>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4930"/>
        <w:gridCol w:w="4930"/>
      </w:tblGrid>
      <w:tr>
        <w:tc>
          <w:tcPr>
            <w:tcW w:type="dxa" w:w="4930"/>
            <w:tcBorders>
              <w:top w:val="none" w:color="FFFFFF" w:sz="0"/>
              <w:left w:val="none" w:color="FFFFFF" w:sz="0"/>
              <w:bottom w:val="none" w:color="FFFFFF" w:sz="0"/>
              <w:right w:val="none" w:color="FFFFFF" w:sz="0"/>
            </w:tcBorders>
            <w:tcMar>
              <w:top w:type="dxa" w:w="40"/>
              <w:left w:type="dxa" w:w="0"/>
              <w:bottom w:type="dxa" w:w="120"/>
              <w:right w:type="dxa" w:w="120"/>
            </w:tcMar>
          </w:tcPr>
          <w:p>
            <w:pPr>
              <w:spacing w:after="20"/>
            </w:pPr>
            <w:r>
              <w:rPr>
                <w:rFonts w:ascii="Calibri" w:cs="Calibri" w:eastAsia="Calibri" w:hAnsi="Calibri"/>
                <w:b/>
                <w:bCs/>
                <w:color w:val="5A6472"/>
                <w:spacing w:val="20"/>
                <w:sz w:val="14"/>
                <w:szCs w:val="14"/>
              </w:rPr>
              <w:t xml:space="preserve">DOCUMENT TYPE</w:t>
            </w:r>
          </w:p>
          <w:p>
            <w:r>
              <w:rPr>
                <w:rFonts w:ascii="Calibri" w:cs="Calibri" w:eastAsia="Calibri" w:hAnsi="Calibri"/>
                <w:b/>
                <w:bCs/>
                <w:color w:val="152540"/>
                <w:sz w:val="19"/>
                <w:szCs w:val="19"/>
              </w:rPr>
              <w:t xml:space="preserve">Corporate Policy — Template</w:t>
            </w:r>
          </w:p>
        </w:tc>
        <w:tc>
          <w:tcPr>
            <w:tcW w:type="dxa" w:w="4930"/>
            <w:tcBorders>
              <w:top w:val="none" w:color="FFFFFF" w:sz="0"/>
              <w:left w:val="none" w:color="FFFFFF" w:sz="0"/>
              <w:bottom w:val="none" w:color="FFFFFF" w:sz="0"/>
              <w:right w:val="none" w:color="FFFFFF" w:sz="0"/>
            </w:tcBorders>
            <w:tcMar>
              <w:top w:type="dxa" w:w="40"/>
              <w:left w:type="dxa" w:w="0"/>
              <w:bottom w:type="dxa" w:w="120"/>
              <w:right w:type="dxa" w:w="120"/>
            </w:tcMar>
          </w:tcPr>
          <w:p>
            <w:pPr>
              <w:spacing w:after="20"/>
            </w:pPr>
            <w:r>
              <w:rPr>
                <w:rFonts w:ascii="Calibri" w:cs="Calibri" w:eastAsia="Calibri" w:hAnsi="Calibri"/>
                <w:b/>
                <w:bCs/>
                <w:color w:val="5A6472"/>
                <w:spacing w:val="20"/>
                <w:sz w:val="14"/>
                <w:szCs w:val="14"/>
              </w:rPr>
              <w:t xml:space="preserve">OWNER</w:t>
            </w:r>
          </w:p>
          <w:p>
            <w:r>
              <w:rPr>
                <w:rFonts w:ascii="Calibri" w:cs="Calibri" w:eastAsia="Calibri" w:hAnsi="Calibri"/>
                <w:b/>
                <w:bCs/>
                <w:color w:val="152540"/>
                <w:sz w:val="19"/>
                <w:szCs w:val="19"/>
              </w:rPr>
              <w:t xml:space="preserve">Chief Information Security Officer</w:t>
            </w:r>
          </w:p>
        </w:tc>
      </w:tr>
      <w:tr>
        <w:tc>
          <w:tcPr>
            <w:tcW w:type="dxa" w:w="4930"/>
            <w:tcBorders>
              <w:top w:val="none" w:color="FFFFFF" w:sz="0"/>
              <w:left w:val="none" w:color="FFFFFF" w:sz="0"/>
              <w:bottom w:val="none" w:color="FFFFFF" w:sz="0"/>
              <w:right w:val="none" w:color="FFFFFF" w:sz="0"/>
            </w:tcBorders>
            <w:tcMar>
              <w:top w:type="dxa" w:w="40"/>
              <w:left w:type="dxa" w:w="0"/>
              <w:bottom w:type="dxa" w:w="120"/>
              <w:right w:type="dxa" w:w="120"/>
            </w:tcMar>
          </w:tcPr>
          <w:p>
            <w:pPr>
              <w:spacing w:after="20"/>
            </w:pPr>
            <w:r>
              <w:rPr>
                <w:rFonts w:ascii="Calibri" w:cs="Calibri" w:eastAsia="Calibri" w:hAnsi="Calibri"/>
                <w:b/>
                <w:bCs/>
                <w:color w:val="5A6472"/>
                <w:spacing w:val="20"/>
                <w:sz w:val="14"/>
                <w:szCs w:val="14"/>
              </w:rPr>
              <w:t xml:space="preserve">VERSION</w:t>
            </w:r>
          </w:p>
          <w:p>
            <w:r>
              <w:rPr>
                <w:rFonts w:ascii="Calibri" w:cs="Calibri" w:eastAsia="Calibri" w:hAnsi="Calibri"/>
                <w:b/>
                <w:bCs/>
                <w:color w:val="152540"/>
                <w:sz w:val="19"/>
                <w:szCs w:val="19"/>
              </w:rPr>
              <w:t xml:space="preserve">1.0 (Template)</w:t>
            </w:r>
          </w:p>
        </w:tc>
        <w:tc>
          <w:tcPr>
            <w:tcW w:type="dxa" w:w="4930"/>
            <w:tcBorders>
              <w:top w:val="none" w:color="FFFFFF" w:sz="0"/>
              <w:left w:val="none" w:color="FFFFFF" w:sz="0"/>
              <w:bottom w:val="none" w:color="FFFFFF" w:sz="0"/>
              <w:right w:val="none" w:color="FFFFFF" w:sz="0"/>
            </w:tcBorders>
            <w:tcMar>
              <w:top w:type="dxa" w:w="40"/>
              <w:left w:type="dxa" w:w="0"/>
              <w:bottom w:type="dxa" w:w="120"/>
              <w:right w:type="dxa" w:w="120"/>
            </w:tcMar>
          </w:tcPr>
          <w:p>
            <w:pPr>
              <w:spacing w:after="20"/>
            </w:pPr>
            <w:r>
              <w:rPr>
                <w:rFonts w:ascii="Calibri" w:cs="Calibri" w:eastAsia="Calibri" w:hAnsi="Calibri"/>
                <w:b/>
                <w:bCs/>
                <w:color w:val="5A6472"/>
                <w:spacing w:val="20"/>
                <w:sz w:val="14"/>
                <w:szCs w:val="14"/>
              </w:rPr>
              <w:t xml:space="preserve">CLASSIFICATION</w:t>
            </w:r>
          </w:p>
          <w:p>
            <w:r>
              <w:rPr>
                <w:rFonts w:ascii="Calibri" w:cs="Calibri" w:eastAsia="Calibri" w:hAnsi="Calibri"/>
                <w:b/>
                <w:bCs/>
                <w:color w:val="152540"/>
                <w:sz w:val="19"/>
                <w:szCs w:val="19"/>
              </w:rPr>
              <w:t xml:space="preserve">Confidential — Internal</w:t>
            </w:r>
          </w:p>
        </w:tc>
      </w:tr>
      <w:tr>
        <w:tc>
          <w:tcPr>
            <w:tcW w:type="dxa" w:w="4930"/>
            <w:tcBorders>
              <w:top w:val="none" w:color="FFFFFF" w:sz="0"/>
              <w:left w:val="none" w:color="FFFFFF" w:sz="0"/>
              <w:bottom w:val="none" w:color="FFFFFF" w:sz="0"/>
              <w:right w:val="none" w:color="FFFFFF" w:sz="0"/>
            </w:tcBorders>
            <w:tcMar>
              <w:top w:type="dxa" w:w="40"/>
              <w:left w:type="dxa" w:w="0"/>
              <w:bottom w:type="dxa" w:w="120"/>
              <w:right w:type="dxa" w:w="120"/>
            </w:tcMar>
          </w:tcPr>
          <w:p>
            <w:pPr>
              <w:spacing w:after="20"/>
            </w:pPr>
            <w:r>
              <w:rPr>
                <w:rFonts w:ascii="Calibri" w:cs="Calibri" w:eastAsia="Calibri" w:hAnsi="Calibri"/>
                <w:b/>
                <w:bCs/>
                <w:color w:val="5A6472"/>
                <w:spacing w:val="20"/>
                <w:sz w:val="14"/>
                <w:szCs w:val="14"/>
              </w:rPr>
              <w:t xml:space="preserve">ALIGNED WITH</w:t>
            </w:r>
          </w:p>
          <w:p>
            <w:r>
              <w:rPr>
                <w:rFonts w:ascii="Calibri" w:cs="Calibri" w:eastAsia="Calibri" w:hAnsi="Calibri"/>
                <w:b/>
                <w:bCs/>
                <w:color w:val="152540"/>
                <w:sz w:val="19"/>
                <w:szCs w:val="19"/>
              </w:rPr>
              <w:t xml:space="preserve">ISO/IEC 42001 · 27001 · NIST AI RMF · EU AI Act</w:t>
            </w:r>
          </w:p>
        </w:tc>
        <w:tc>
          <w:tcPr>
            <w:tcW w:type="dxa" w:w="4930"/>
            <w:tcBorders>
              <w:top w:val="none" w:color="FFFFFF" w:sz="0"/>
              <w:left w:val="none" w:color="FFFFFF" w:sz="0"/>
              <w:bottom w:val="none" w:color="FFFFFF" w:sz="0"/>
              <w:right w:val="none" w:color="FFFFFF" w:sz="0"/>
            </w:tcBorders>
            <w:tcMar>
              <w:top w:type="dxa" w:w="40"/>
              <w:left w:type="dxa" w:w="0"/>
              <w:bottom w:type="dxa" w:w="120"/>
              <w:right w:type="dxa" w:w="120"/>
            </w:tcMar>
          </w:tcPr>
          <w:p>
            <w:pPr>
              <w:spacing w:after="20"/>
            </w:pPr>
            <w:r>
              <w:rPr>
                <w:rFonts w:ascii="Calibri" w:cs="Calibri" w:eastAsia="Calibri" w:hAnsi="Calibri"/>
                <w:b/>
                <w:bCs/>
                <w:color w:val="5A6472"/>
                <w:spacing w:val="20"/>
                <w:sz w:val="14"/>
                <w:szCs w:val="14"/>
              </w:rPr>
              <w:t xml:space="preserve">REVIEW CYCLE</w:t>
            </w:r>
          </w:p>
          <w:p>
            <w:r>
              <w:rPr>
                <w:rFonts w:ascii="Calibri" w:cs="Calibri" w:eastAsia="Calibri" w:hAnsi="Calibri"/>
                <w:b/>
                <w:bCs/>
                <w:color w:val="152540"/>
                <w:sz w:val="19"/>
                <w:szCs w:val="19"/>
              </w:rPr>
              <w:t xml:space="preserve">Annual (or upon material change)</w:t>
            </w:r>
          </w:p>
        </w:tc>
      </w:tr>
    </w:tbl>
    <w:p>
      <w:pPr>
        <w:spacing w:after="600"/>
      </w:pPr>
    </w:p>
    <w:p>
      <w:pPr>
        <w:pBdr>
          <w:top w:val="single" w:color="D5DBE4" w:sz="6" w:space="8"/>
        </w:pBdr>
        <w:spacing w:after="200"/>
      </w:pPr>
    </w:p>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7100"/>
        <w:gridCol w:w="2760"/>
      </w:tblGrid>
      <w:tr>
        <w:tc>
          <w:tcPr>
            <w:tcW w:type="dxa" w:w="710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spacing w:after="60"/>
            </w:pPr>
            <w:r>
              <w:rPr>
                <w:rFonts w:ascii="Calibri" w:cs="Calibri" w:eastAsia="Calibri" w:hAnsi="Calibri"/>
                <w:b/>
                <w:bCs/>
                <w:color w:val="152540"/>
                <w:sz w:val="24"/>
                <w:szCs w:val="24"/>
              </w:rPr>
              <w:t xml:space="preserve">[ORGANISATION NAME]</w:t>
            </w:r>
          </w:p>
          <w:p>
            <w:r>
              <w:rPr>
                <w:rFonts w:ascii="Calibri" w:cs="Calibri" w:eastAsia="Calibri" w:hAnsi="Calibri"/>
                <w:color w:val="5A6472"/>
                <w:sz w:val="17"/>
                <w:szCs w:val="17"/>
              </w:rPr>
              <w:t xml:space="preserve">SwissCyberAI  ·  Baar / Zug — Switzerland</w:t>
            </w:r>
          </w:p>
        </w:tc>
        <w:tc>
          <w:tcPr>
            <w:tcW w:type="dxa" w:w="276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spacing w:after="0"/>
              <w:jc w:val="right"/>
            </w:pPr>
            <w:r>
              <w:rPr>
                <w:rFonts w:ascii="Calibri" w:cs="Calibri" w:eastAsia="Calibri" w:hAnsi="Calibri"/>
                <w:b/>
                <w:bCs/>
                <w:color w:val="D30D50"/>
                <w:sz w:val="52"/>
                <w:szCs w:val="52"/>
              </w:rPr>
              <w:t xml:space="preserve">2026</w:t>
            </w:r>
          </w:p>
          <w:p>
            <w:pPr>
              <w:jc w:val="right"/>
            </w:pPr>
            <w:r>
              <w:rPr>
                <w:rFonts w:ascii="Calibri" w:cs="Calibri" w:eastAsia="Calibri" w:hAnsi="Calibri"/>
                <w:b/>
                <w:bCs/>
                <w:color w:val="5A6472"/>
                <w:spacing w:val="30"/>
                <w:sz w:val="18"/>
                <w:szCs w:val="18"/>
              </w:rPr>
              <w:t xml:space="preserve">E N</w:t>
            </w:r>
          </w:p>
        </w:tc>
      </w:tr>
    </w:tbl>
    <w:p>
      <w:r>
        <w:br w:type="page"/>
      </w:r>
    </w:p>
    <w:p>
      <w:pPr>
        <w:keepNext/>
        <w:pBdr>
          <w:bottom w:val="single" w:color="D30D50" w:sz="16" w:space="6"/>
        </w:pBdr>
        <w:spacing w:after="140" w:before="60"/>
      </w:pPr>
      <w:r>
        <w:rPr>
          <w:rFonts w:ascii="Calibri" w:cs="Calibri" w:eastAsia="Calibri" w:hAnsi="Calibri"/>
          <w:b/>
          <w:bCs/>
          <w:color w:val="152540"/>
          <w:sz w:val="30"/>
          <w:szCs w:val="30"/>
        </w:rPr>
        <w:t xml:space="preserve">Document Control</w:t>
      </w:r>
    </w:p>
    <w:p>
      <w:pPr>
        <w:spacing w:after="120"/>
        <w:jc w:val="both"/>
      </w:pPr>
      <w:r>
        <w:rPr>
          <w:rFonts w:ascii="Calibri" w:cs="Calibri" w:eastAsia="Calibri" w:hAnsi="Calibri"/>
          <w:color w:val="5A6472"/>
          <w:sz w:val="18"/>
          <w:szCs w:val="18"/>
        </w:rPr>
        <w:t xml:space="preserve">This page records the authority, ownership and revision status of the policy. Complete all bracketed fields before the document is issued.</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3700"/>
        <w:gridCol w:w="6160"/>
      </w:tblGrid>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Document title</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Artificial Intelligence Security Policy</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Document reference</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[POL-AI-SEC-001]</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Version</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1.0 — Template baseline</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Status</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[Draft / Under Review / Approved / Published]</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Classification</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Confidential — Internal use only</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Document owner</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Chief Information Security Officer (CISO)</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Author / maintainer</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[Name, role]</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Approval authority</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[Executive Management / Board / AI Governance Committee]</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Effective date</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[DD Month 2026]</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Next review date</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[DD Month 2027]</w:t>
            </w:r>
            <w:r>
              <w:rPr>
                <w:rFonts w:ascii="Calibri" w:cs="Calibri" w:eastAsia="Calibri" w:hAnsi="Calibri"/>
                <w:color w:val="1F2733"/>
                <w:sz w:val="17"/>
                <w:szCs w:val="17"/>
              </w:rPr>
              <w:t xml:space="preserve"> — reviewed at least annually</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Applies to</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All employees, contractors, temporary staff, interns and third parties acting on behalf of the organisation</w:t>
            </w:r>
          </w:p>
        </w:tc>
      </w:tr>
    </w:tbl>
    <w:p>
      <w:pPr>
        <w:spacing w:after="120"/>
      </w:pPr>
    </w:p>
    <w:p>
      <w:pPr>
        <w:keepNext/>
        <w:spacing w:after="60" w:before="150"/>
      </w:pPr>
      <w:r>
        <w:rPr>
          <w:rFonts w:ascii="Calibri" w:cs="Calibri" w:eastAsia="Calibri" w:hAnsi="Calibri"/>
          <w:b/>
          <w:bCs/>
          <w:color w:val="243A5E"/>
          <w:sz w:val="20"/>
          <w:szCs w:val="20"/>
        </w:rPr>
        <w:t xml:space="preserve">Approval &amp; sign-off</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2560"/>
        <w:gridCol w:w="2900"/>
        <w:gridCol w:w="2400"/>
        <w:gridCol w:w="2000"/>
      </w:tblGrid>
      <w:tr>
        <w:trPr>
          <w:tblHeader/>
        </w:trPr>
        <w:tc>
          <w:tcPr>
            <w:tcW w:type="dxa" w:w="256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Role</w:t>
            </w:r>
          </w:p>
        </w:tc>
        <w:tc>
          <w:tcPr>
            <w:tcW w:type="dxa" w:w="29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Name</w:t>
            </w:r>
          </w:p>
        </w:tc>
        <w:tc>
          <w:tcPr>
            <w:tcW w:type="dxa" w:w="24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Signature</w:t>
            </w:r>
          </w:p>
        </w:tc>
        <w:tc>
          <w:tcPr>
            <w:tcW w:type="dxa" w:w="20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Date</w:t>
            </w:r>
          </w:p>
        </w:tc>
      </w:tr>
      <w:tr>
        <w:tc>
          <w:tcPr>
            <w:tcW w:type="dxa" w:w="25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Policy owner (CISO)</w:t>
            </w:r>
          </w:p>
        </w:tc>
        <w:tc>
          <w:tcPr>
            <w:tcW w:type="dxa" w:w="290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[Name]</w:t>
            </w:r>
          </w:p>
        </w:tc>
        <w:tc>
          <w:tcPr>
            <w:tcW w:type="dxa" w:w="2400"/>
            <w:tcMar>
              <w:top w:type="dxa" w:w="60"/>
              <w:left w:type="dxa" w:w="90"/>
              <w:bottom w:type="dxa" w:w="60"/>
              <w:right w:type="dxa" w:w="90"/>
            </w:tcMar>
            <w:vAlign w:val="center"/>
          </w:tcPr>
          <w:p>
            <w:pPr>
              <w:spacing w:after="0"/>
              <w:jc w:val="left"/>
            </w:pPr>
          </w:p>
        </w:tc>
        <w:tc>
          <w:tcPr>
            <w:tcW w:type="dxa" w:w="2000"/>
            <w:tcMar>
              <w:top w:type="dxa" w:w="60"/>
              <w:left w:type="dxa" w:w="90"/>
              <w:bottom w:type="dxa" w:w="60"/>
              <w:right w:type="dxa" w:w="90"/>
            </w:tcMar>
            <w:vAlign w:val="center"/>
          </w:tcPr>
          <w:p>
            <w:pPr>
              <w:spacing w:after="0"/>
              <w:jc w:val="left"/>
            </w:pPr>
          </w:p>
        </w:tc>
      </w:tr>
      <w:tr>
        <w:tc>
          <w:tcPr>
            <w:tcW w:type="dxa" w:w="25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Data Protection Officer</w:t>
            </w:r>
          </w:p>
        </w:tc>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[Name]</w:t>
            </w:r>
          </w:p>
        </w:tc>
        <w:tc>
          <w:tcPr>
            <w:tcW w:type="dxa" w:w="2400"/>
            <w:shd w:fill="F5F7FA" w:color="auto" w:val="clear"/>
            <w:tcMar>
              <w:top w:type="dxa" w:w="60"/>
              <w:left w:type="dxa" w:w="90"/>
              <w:bottom w:type="dxa" w:w="60"/>
              <w:right w:type="dxa" w:w="90"/>
            </w:tcMar>
            <w:vAlign w:val="center"/>
          </w:tcPr>
          <w:p>
            <w:pPr>
              <w:spacing w:after="0"/>
              <w:jc w:val="left"/>
            </w:pPr>
          </w:p>
        </w:tc>
        <w:tc>
          <w:tcPr>
            <w:tcW w:type="dxa" w:w="2000"/>
            <w:shd w:fill="F5F7FA" w:color="auto" w:val="clear"/>
            <w:tcMar>
              <w:top w:type="dxa" w:w="60"/>
              <w:left w:type="dxa" w:w="90"/>
              <w:bottom w:type="dxa" w:w="60"/>
              <w:right w:type="dxa" w:w="90"/>
            </w:tcMar>
            <w:vAlign w:val="center"/>
          </w:tcPr>
          <w:p>
            <w:pPr>
              <w:spacing w:after="0"/>
              <w:jc w:val="left"/>
            </w:pPr>
          </w:p>
        </w:tc>
      </w:tr>
      <w:tr>
        <w:tc>
          <w:tcPr>
            <w:tcW w:type="dxa" w:w="25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Chair, AI Governance Committee</w:t>
            </w:r>
          </w:p>
        </w:tc>
        <w:tc>
          <w:tcPr>
            <w:tcW w:type="dxa" w:w="290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[Name]</w:t>
            </w:r>
          </w:p>
        </w:tc>
        <w:tc>
          <w:tcPr>
            <w:tcW w:type="dxa" w:w="2400"/>
            <w:tcMar>
              <w:top w:type="dxa" w:w="60"/>
              <w:left w:type="dxa" w:w="90"/>
              <w:bottom w:type="dxa" w:w="60"/>
              <w:right w:type="dxa" w:w="90"/>
            </w:tcMar>
            <w:vAlign w:val="center"/>
          </w:tcPr>
          <w:p>
            <w:pPr>
              <w:spacing w:after="0"/>
              <w:jc w:val="left"/>
            </w:pPr>
          </w:p>
        </w:tc>
        <w:tc>
          <w:tcPr>
            <w:tcW w:type="dxa" w:w="2000"/>
            <w:tcMar>
              <w:top w:type="dxa" w:w="60"/>
              <w:left w:type="dxa" w:w="90"/>
              <w:bottom w:type="dxa" w:w="60"/>
              <w:right w:type="dxa" w:w="90"/>
            </w:tcMar>
            <w:vAlign w:val="center"/>
          </w:tcPr>
          <w:p>
            <w:pPr>
              <w:spacing w:after="0"/>
              <w:jc w:val="left"/>
            </w:pPr>
          </w:p>
        </w:tc>
      </w:tr>
      <w:tr>
        <w:tc>
          <w:tcPr>
            <w:tcW w:type="dxa" w:w="25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Approving executive</w:t>
            </w:r>
          </w:p>
        </w:tc>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[Name]</w:t>
            </w:r>
          </w:p>
        </w:tc>
        <w:tc>
          <w:tcPr>
            <w:tcW w:type="dxa" w:w="2400"/>
            <w:shd w:fill="F5F7FA" w:color="auto" w:val="clear"/>
            <w:tcMar>
              <w:top w:type="dxa" w:w="60"/>
              <w:left w:type="dxa" w:w="90"/>
              <w:bottom w:type="dxa" w:w="60"/>
              <w:right w:type="dxa" w:w="90"/>
            </w:tcMar>
            <w:vAlign w:val="center"/>
          </w:tcPr>
          <w:p>
            <w:pPr>
              <w:spacing w:after="0"/>
              <w:jc w:val="left"/>
            </w:pPr>
          </w:p>
        </w:tc>
        <w:tc>
          <w:tcPr>
            <w:tcW w:type="dxa" w:w="2000"/>
            <w:shd w:fill="F5F7FA" w:color="auto" w:val="clear"/>
            <w:tcMar>
              <w:top w:type="dxa" w:w="60"/>
              <w:left w:type="dxa" w:w="90"/>
              <w:bottom w:type="dxa" w:w="60"/>
              <w:right w:type="dxa" w:w="90"/>
            </w:tcMar>
            <w:vAlign w:val="center"/>
          </w:tcPr>
          <w:p>
            <w:pPr>
              <w:spacing w:after="0"/>
              <w:jc w:val="left"/>
            </w:pPr>
          </w:p>
        </w:tc>
      </w:tr>
    </w:tbl>
    <w:p>
      <w:pPr>
        <w:spacing w:after="80"/>
      </w:pPr>
    </w:p>
    <w:p>
      <w:pPr>
        <w:keepNext/>
        <w:spacing w:after="60" w:before="150"/>
      </w:pPr>
      <w:r>
        <w:rPr>
          <w:rFonts w:ascii="Calibri" w:cs="Calibri" w:eastAsia="Calibri" w:hAnsi="Calibri"/>
          <w:b/>
          <w:bCs/>
          <w:color w:val="243A5E"/>
          <w:sz w:val="20"/>
          <w:szCs w:val="20"/>
        </w:rPr>
        <w:t xml:space="preserve">Revision history</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1200"/>
        <w:gridCol w:w="1560"/>
        <w:gridCol w:w="2700"/>
        <w:gridCol w:w="4400"/>
      </w:tblGrid>
      <w:tr>
        <w:trPr>
          <w:tblHeader/>
        </w:trPr>
        <w:tc>
          <w:tcPr>
            <w:tcW w:type="dxa" w:w="12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Version</w:t>
            </w:r>
          </w:p>
        </w:tc>
        <w:tc>
          <w:tcPr>
            <w:tcW w:type="dxa" w:w="156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Date</w:t>
            </w:r>
          </w:p>
        </w:tc>
        <w:tc>
          <w:tcPr>
            <w:tcW w:type="dxa" w:w="27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Author</w:t>
            </w:r>
          </w:p>
        </w:tc>
        <w:tc>
          <w:tcPr>
            <w:tcW w:type="dxa" w:w="44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Summary of change</w:t>
            </w:r>
          </w:p>
        </w:tc>
      </w:tr>
      <w:tr>
        <w:tc>
          <w:tcPr>
            <w:tcW w:type="dxa" w:w="12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0.1</w:t>
            </w:r>
          </w:p>
        </w:tc>
        <w:tc>
          <w:tcPr>
            <w:tcW w:type="dxa" w:w="15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[Date]</w:t>
            </w:r>
          </w:p>
        </w:tc>
        <w:tc>
          <w:tcPr>
            <w:tcW w:type="dxa" w:w="270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[Author]</w:t>
            </w:r>
          </w:p>
        </w:tc>
        <w:tc>
          <w:tcPr>
            <w:tcW w:type="dxa" w:w="4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Initial draft based on template baseline</w:t>
            </w:r>
          </w:p>
        </w:tc>
      </w:tr>
      <w:tr>
        <w:tc>
          <w:tcPr>
            <w:tcW w:type="dxa" w:w="12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1.0</w:t>
            </w:r>
          </w:p>
        </w:tc>
        <w:tc>
          <w:tcPr>
            <w:tcW w:type="dxa" w:w="1560"/>
            <w:shd w:fill="F5F7FA" w:color="auto" w:val="clear"/>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[Date]</w:t>
            </w:r>
          </w:p>
        </w:tc>
        <w:tc>
          <w:tcPr>
            <w:tcW w:type="dxa" w:w="2700"/>
            <w:shd w:fill="F5F7FA" w:color="auto" w:val="clear"/>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[Author]</w:t>
            </w:r>
          </w:p>
        </w:tc>
        <w:tc>
          <w:tcPr>
            <w:tcW w:type="dxa" w:w="4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First approved and published version</w:t>
            </w:r>
          </w:p>
        </w:tc>
      </w:tr>
    </w:tbl>
    <w:p>
      <w:pPr>
        <w:spacing w:after="120"/>
      </w:pPr>
    </w:p>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9860"/>
      </w:tblGrid>
      <w:tr>
        <w:tc>
          <w:tcPr>
            <w:tcW w:type="dxa" w:w="9860"/>
            <w:tcBorders>
              <w:top w:val="none" w:color="FFFFFF" w:sz="0"/>
              <w:left w:val="single" w:color="D30D50" w:sz="26"/>
              <w:bottom w:val="none" w:color="FFFFFF" w:sz="0"/>
              <w:right w:val="none" w:color="FFFFFF" w:sz="0"/>
            </w:tcBorders>
            <w:shd w:fill="FBE7EE" w:color="auto" w:val="clear"/>
            <w:tcMar>
              <w:top w:type="dxa" w:w="120"/>
              <w:left w:type="dxa" w:w="200"/>
              <w:bottom w:type="dxa" w:w="120"/>
              <w:right w:type="dxa" w:w="160"/>
            </w:tcMar>
          </w:tcPr>
          <w:p>
            <w:pPr>
              <w:spacing w:after="60"/>
            </w:pPr>
            <w:r>
              <w:rPr>
                <w:rFonts w:ascii="Calibri" w:cs="Calibri" w:eastAsia="Calibri" w:hAnsi="Calibri"/>
                <w:b/>
                <w:bCs/>
                <w:color w:val="D30D50"/>
                <w:spacing w:val="20"/>
                <w:sz w:val="15"/>
                <w:szCs w:val="15"/>
              </w:rPr>
              <w:t xml:space="preserve">HOW TO USE THIS TEMPLATE</w:t>
            </w:r>
          </w:p>
          <w:p>
            <w:pPr>
              <w:spacing w:after="40"/>
              <w:jc w:val="both"/>
            </w:pPr>
            <w:r>
              <w:rPr>
                <w:rFonts w:ascii="Calibri" w:cs="Calibri" w:eastAsia="Calibri" w:hAnsi="Calibri"/>
                <w:color w:val="1F2733"/>
                <w:sz w:val="17"/>
                <w:szCs w:val="17"/>
              </w:rPr>
              <w:t xml:space="preserve">This document is a </w:t>
            </w:r>
            <w:r>
              <w:rPr>
                <w:rFonts w:ascii="Calibri" w:cs="Calibri" w:eastAsia="Calibri" w:hAnsi="Calibri"/>
                <w:b/>
                <w:bCs/>
                <w:color w:val="152540"/>
                <w:sz w:val="17"/>
                <w:szCs w:val="17"/>
              </w:rPr>
              <w:t xml:space="preserve">structured starting point</w:t>
            </w:r>
            <w:r>
              <w:rPr>
                <w:rFonts w:ascii="Calibri" w:cs="Calibri" w:eastAsia="Calibri" w:hAnsi="Calibri"/>
                <w:color w:val="1F2733"/>
                <w:sz w:val="17"/>
                <w:szCs w:val="17"/>
              </w:rPr>
              <w:t xml:space="preserve">, not a ready-to-publish policy. Replace every </w:t>
            </w:r>
            <w:r>
              <w:rPr>
                <w:rFonts w:ascii="Calibri" w:cs="Calibri" w:eastAsia="Calibri" w:hAnsi="Calibri"/>
                <w:b/>
                <w:bCs/>
                <w:color w:val="D30D50"/>
                <w:sz w:val="17"/>
                <w:szCs w:val="17"/>
              </w:rPr>
              <w:t xml:space="preserve">[bracketed placeholder]</w:t>
            </w:r>
            <w:r>
              <w:rPr>
                <w:rFonts w:ascii="Calibri" w:cs="Calibri" w:eastAsia="Calibri" w:hAnsi="Calibri"/>
                <w:color w:val="1F2733"/>
                <w:sz w:val="17"/>
                <w:szCs w:val="17"/>
              </w:rPr>
              <w:t xml:space="preserve">, delete guidance boxes like this one before publication, and remove or adapt any clause that does not fit your operating model, sector or jurisdiction. Have the final version reviewed by legal, data protection and security stakeholders, and validate it against the regulatory obligations that actually apply to your organisation.</w:t>
            </w:r>
          </w:p>
        </w:tc>
      </w:tr>
    </w:tbl>
    <w:p>
      <w:r>
        <w:br w:type="page"/>
      </w:r>
    </w:p>
    <w:p>
      <w:pPr>
        <w:keepNext/>
        <w:pBdr>
          <w:bottom w:val="single" w:color="D30D50" w:sz="16" w:space="6"/>
        </w:pBdr>
        <w:spacing w:after="140" w:before="60"/>
      </w:pPr>
      <w:r>
        <w:rPr>
          <w:rFonts w:ascii="Calibri" w:cs="Calibri" w:eastAsia="Calibri" w:hAnsi="Calibri"/>
          <w:b/>
          <w:bCs/>
          <w:color w:val="152540"/>
          <w:sz w:val="30"/>
          <w:szCs w:val="30"/>
        </w:rPr>
        <w:t xml:space="preserve">Table of Contents</w:t>
      </w:r>
    </w:p>
    <w:p>
      <w:pPr>
        <w:spacing w:after="120"/>
      </w:pPr>
      <w:r>
        <w:rPr>
          <w:rFonts w:ascii="Calibri" w:cs="Calibri" w:eastAsia="Calibri" w:hAnsi="Calibri"/>
          <w:i/>
          <w:iCs/>
          <w:color w:val="5A6472"/>
          <w:sz w:val="17"/>
          <w:szCs w:val="17"/>
        </w:rPr>
        <w:t xml:space="preserve">If page numbers appear blank, select all (Ctrl+A) and press F9 — or right-click and choose “Update Field” — to populate the 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1   </w:t>
      </w:r>
      <w:r>
        <w:rPr>
          <w:rFonts w:ascii="Calibri" w:cs="Calibri" w:eastAsia="Calibri" w:hAnsi="Calibri"/>
          <w:b/>
          <w:bCs/>
          <w:color w:val="152540"/>
          <w:sz w:val="28"/>
          <w:szCs w:val="28"/>
        </w:rPr>
        <w:t xml:space="preserve">Purpose and Objectives</w:t>
      </w:r>
    </w:p>
    <w:p>
      <w:pPr>
        <w:spacing w:after="120"/>
        <w:jc w:val="both"/>
      </w:pPr>
      <w:r>
        <w:rPr>
          <w:rFonts w:ascii="Calibri" w:cs="Calibri" w:eastAsia="Calibri" w:hAnsi="Calibri"/>
          <w:color w:val="1F2733"/>
          <w:sz w:val="19"/>
          <w:szCs w:val="19"/>
        </w:rPr>
        <w:t xml:space="preserve">Artificial intelligence (AI) offers </w:t>
      </w:r>
      <w:r>
        <w:rPr>
          <w:rFonts w:ascii="Calibri" w:cs="Calibri" w:eastAsia="Calibri" w:hAnsi="Calibri"/>
          <w:b/>
          <w:bCs/>
          <w:color w:val="D30D50"/>
          <w:sz w:val="19"/>
          <w:szCs w:val="19"/>
        </w:rPr>
        <w:t xml:space="preserve">[ORGANISATION NAME]</w:t>
      </w:r>
      <w:r>
        <w:rPr>
          <w:rFonts w:ascii="Calibri" w:cs="Calibri" w:eastAsia="Calibri" w:hAnsi="Calibri"/>
          <w:color w:val="1F2733"/>
          <w:sz w:val="19"/>
          <w:szCs w:val="19"/>
        </w:rPr>
        <w:t xml:space="preserve"> (the “organisation”) significant opportunities to improve efficiency, decision-making and service quality. At the same time, AI introduces distinct security, ethical, legal and operational risks that are not fully addressed by conventional information security controls.</w:t>
      </w:r>
    </w:p>
    <w:p>
      <w:pPr>
        <w:spacing w:after="120"/>
        <w:jc w:val="both"/>
      </w:pPr>
      <w:r>
        <w:rPr>
          <w:rFonts w:ascii="Calibri" w:cs="Calibri" w:eastAsia="Calibri" w:hAnsi="Calibri"/>
          <w:color w:val="1F2733"/>
          <w:sz w:val="19"/>
          <w:szCs w:val="19"/>
        </w:rPr>
        <w:t xml:space="preserve">The purpose of this policy is to establish a consistent, risk-based framework governing how AI is acquired, developed, deployed, operated and retired across the organisation, so that innovation is enabled while security, privacy, safety and regulatory obligations are protected.</w:t>
      </w:r>
    </w:p>
    <w:p>
      <w:pPr>
        <w:spacing w:after="120"/>
        <w:jc w:val="both"/>
      </w:pPr>
      <w:r>
        <w:rPr>
          <w:rFonts w:ascii="Calibri" w:cs="Calibri" w:eastAsia="Calibri" w:hAnsi="Calibri"/>
          <w:color w:val="1F2733"/>
          <w:sz w:val="19"/>
          <w:szCs w:val="19"/>
        </w:rPr>
        <w:t xml:space="preserve">The specific objectives of this policy are to:</w:t>
      </w:r>
    </w:p>
    <w:p>
      <w:pPr>
        <w:pStyle w:val="ListParagraph"/>
        <w:numPr>
          <w:ilvl w:val="0"/>
          <w:numId w:val="2"/>
        </w:numPr>
        <w:spacing w:after="50"/>
        <w:jc w:val="both"/>
      </w:pPr>
      <w:r>
        <w:rPr>
          <w:rFonts w:ascii="Calibri" w:cs="Calibri" w:eastAsia="Calibri" w:hAnsi="Calibri"/>
          <w:color w:val="1F2733"/>
          <w:sz w:val="19"/>
          <w:szCs w:val="19"/>
        </w:rPr>
        <w:t xml:space="preserve">Define clear </w:t>
      </w:r>
      <w:r>
        <w:rPr>
          <w:rFonts w:ascii="Calibri" w:cs="Calibri" w:eastAsia="Calibri" w:hAnsi="Calibri"/>
          <w:b/>
          <w:bCs/>
          <w:color w:val="152540"/>
          <w:sz w:val="19"/>
          <w:szCs w:val="19"/>
        </w:rPr>
        <w:t xml:space="preserve">governance, accountability and roles</w:t>
      </w:r>
      <w:r>
        <w:rPr>
          <w:rFonts w:ascii="Calibri" w:cs="Calibri" w:eastAsia="Calibri" w:hAnsi="Calibri"/>
          <w:color w:val="1F2733"/>
          <w:sz w:val="19"/>
          <w:szCs w:val="19"/>
        </w:rPr>
        <w:t xml:space="preserve"> for all AI activities.</w:t>
      </w:r>
    </w:p>
    <w:p>
      <w:pPr>
        <w:pStyle w:val="ListParagraph"/>
        <w:numPr>
          <w:ilvl w:val="0"/>
          <w:numId w:val="2"/>
        </w:numPr>
        <w:spacing w:after="50"/>
        <w:jc w:val="both"/>
      </w:pPr>
      <w:r>
        <w:rPr>
          <w:rFonts w:ascii="Calibri" w:cs="Calibri" w:eastAsia="Calibri" w:hAnsi="Calibri"/>
          <w:color w:val="1F2733"/>
          <w:sz w:val="19"/>
          <w:szCs w:val="19"/>
        </w:rPr>
        <w:t xml:space="preserve">Ensure AI systems are subject to </w:t>
      </w:r>
      <w:r>
        <w:rPr>
          <w:rFonts w:ascii="Calibri" w:cs="Calibri" w:eastAsia="Calibri" w:hAnsi="Calibri"/>
          <w:b/>
          <w:bCs/>
          <w:color w:val="152540"/>
          <w:sz w:val="19"/>
          <w:szCs w:val="19"/>
        </w:rPr>
        <w:t xml:space="preserve">risk assessment</w:t>
      </w:r>
      <w:r>
        <w:rPr>
          <w:rFonts w:ascii="Calibri" w:cs="Calibri" w:eastAsia="Calibri" w:hAnsi="Calibri"/>
          <w:color w:val="1F2733"/>
          <w:sz w:val="19"/>
          <w:szCs w:val="19"/>
        </w:rPr>
        <w:t xml:space="preserve"> proportionate to their potential impact.</w:t>
      </w:r>
    </w:p>
    <w:p>
      <w:pPr>
        <w:pStyle w:val="ListParagraph"/>
        <w:numPr>
          <w:ilvl w:val="0"/>
          <w:numId w:val="2"/>
        </w:numPr>
        <w:spacing w:after="50"/>
        <w:jc w:val="both"/>
      </w:pPr>
      <w:r>
        <w:rPr>
          <w:rFonts w:ascii="Calibri" w:cs="Calibri" w:eastAsia="Calibri" w:hAnsi="Calibri"/>
          <w:color w:val="1F2733"/>
          <w:sz w:val="19"/>
          <w:szCs w:val="19"/>
        </w:rPr>
        <w:t xml:space="preserve">Protect the </w:t>
      </w:r>
      <w:r>
        <w:rPr>
          <w:rFonts w:ascii="Calibri" w:cs="Calibri" w:eastAsia="Calibri" w:hAnsi="Calibri"/>
          <w:b/>
          <w:bCs/>
          <w:color w:val="152540"/>
          <w:sz w:val="19"/>
          <w:szCs w:val="19"/>
        </w:rPr>
        <w:t xml:space="preserve">confidentiality, integrity and availability</w:t>
      </w:r>
      <w:r>
        <w:rPr>
          <w:rFonts w:ascii="Calibri" w:cs="Calibri" w:eastAsia="Calibri" w:hAnsi="Calibri"/>
          <w:color w:val="1F2733"/>
          <w:sz w:val="19"/>
          <w:szCs w:val="19"/>
        </w:rPr>
        <w:t xml:space="preserve"> of data, models and AI-enabled services against AI-specific threats.</w:t>
      </w:r>
    </w:p>
    <w:p>
      <w:pPr>
        <w:pStyle w:val="ListParagraph"/>
        <w:numPr>
          <w:ilvl w:val="0"/>
          <w:numId w:val="2"/>
        </w:numPr>
        <w:spacing w:after="50"/>
        <w:jc w:val="both"/>
      </w:pPr>
      <w:r>
        <w:rPr>
          <w:rFonts w:ascii="Calibri" w:cs="Calibri" w:eastAsia="Calibri" w:hAnsi="Calibri"/>
          <w:color w:val="1F2733"/>
          <w:sz w:val="19"/>
          <w:szCs w:val="19"/>
        </w:rPr>
        <w:t xml:space="preserve">Safeguard </w:t>
      </w:r>
      <w:r>
        <w:rPr>
          <w:rFonts w:ascii="Calibri" w:cs="Calibri" w:eastAsia="Calibri" w:hAnsi="Calibri"/>
          <w:b/>
          <w:bCs/>
          <w:color w:val="152540"/>
          <w:sz w:val="19"/>
          <w:szCs w:val="19"/>
        </w:rPr>
        <w:t xml:space="preserve">personal data</w:t>
      </w:r>
      <w:r>
        <w:rPr>
          <w:rFonts w:ascii="Calibri" w:cs="Calibri" w:eastAsia="Calibri" w:hAnsi="Calibri"/>
          <w:color w:val="1F2733"/>
          <w:sz w:val="19"/>
          <w:szCs w:val="19"/>
        </w:rPr>
        <w:t xml:space="preserve"> and uphold the rights of individuals affected by AI systems.</w:t>
      </w:r>
    </w:p>
    <w:p>
      <w:pPr>
        <w:pStyle w:val="ListParagraph"/>
        <w:numPr>
          <w:ilvl w:val="0"/>
          <w:numId w:val="2"/>
        </w:numPr>
        <w:spacing w:after="50"/>
        <w:jc w:val="both"/>
      </w:pPr>
      <w:r>
        <w:rPr>
          <w:rFonts w:ascii="Calibri" w:cs="Calibri" w:eastAsia="Calibri" w:hAnsi="Calibri"/>
          <w:color w:val="1F2733"/>
          <w:sz w:val="19"/>
          <w:szCs w:val="19"/>
        </w:rPr>
        <w:t xml:space="preserve">Require appropriate </w:t>
      </w:r>
      <w:r>
        <w:rPr>
          <w:rFonts w:ascii="Calibri" w:cs="Calibri" w:eastAsia="Calibri" w:hAnsi="Calibri"/>
          <w:b/>
          <w:bCs/>
          <w:color w:val="152540"/>
          <w:sz w:val="19"/>
          <w:szCs w:val="19"/>
        </w:rPr>
        <w:t xml:space="preserve">human oversight, transparency and explainability</w:t>
      </w:r>
      <w:r>
        <w:rPr>
          <w:rFonts w:ascii="Calibri" w:cs="Calibri" w:eastAsia="Calibri" w:hAnsi="Calibri"/>
          <w:color w:val="1F2733"/>
          <w:sz w:val="19"/>
          <w:szCs w:val="19"/>
        </w:rPr>
        <w:t xml:space="preserve"> for AI-supported decisions.</w:t>
      </w:r>
    </w:p>
    <w:p>
      <w:pPr>
        <w:pStyle w:val="ListParagraph"/>
        <w:numPr>
          <w:ilvl w:val="0"/>
          <w:numId w:val="2"/>
        </w:numPr>
        <w:spacing w:after="50"/>
        <w:jc w:val="both"/>
      </w:pPr>
      <w:r>
        <w:rPr>
          <w:rFonts w:ascii="Calibri" w:cs="Calibri" w:eastAsia="Calibri" w:hAnsi="Calibri"/>
          <w:color w:val="1F2733"/>
          <w:sz w:val="19"/>
          <w:szCs w:val="19"/>
        </w:rPr>
        <w:t xml:space="preserve">Ensure </w:t>
      </w:r>
      <w:r>
        <w:rPr>
          <w:rFonts w:ascii="Calibri" w:cs="Calibri" w:eastAsia="Calibri" w:hAnsi="Calibri"/>
          <w:b/>
          <w:bCs/>
          <w:color w:val="152540"/>
          <w:sz w:val="19"/>
          <w:szCs w:val="19"/>
        </w:rPr>
        <w:t xml:space="preserve">compliance</w:t>
      </w:r>
      <w:r>
        <w:rPr>
          <w:rFonts w:ascii="Calibri" w:cs="Calibri" w:eastAsia="Calibri" w:hAnsi="Calibri"/>
          <w:color w:val="1F2733"/>
          <w:sz w:val="19"/>
          <w:szCs w:val="19"/>
        </w:rPr>
        <w:t xml:space="preserve"> with applicable laws, regulations and contractual commitments.</w:t>
      </w:r>
    </w:p>
    <w:p>
      <w:pPr>
        <w:pStyle w:val="ListParagraph"/>
        <w:numPr>
          <w:ilvl w:val="0"/>
          <w:numId w:val="2"/>
        </w:numPr>
        <w:spacing w:after="50"/>
        <w:jc w:val="both"/>
      </w:pPr>
      <w:r>
        <w:rPr>
          <w:rFonts w:ascii="Calibri" w:cs="Calibri" w:eastAsia="Calibri" w:hAnsi="Calibri"/>
          <w:color w:val="1F2733"/>
          <w:sz w:val="19"/>
          <w:szCs w:val="19"/>
        </w:rPr>
        <w:t xml:space="preserve">Provide staff with clear rules on the </w:t>
      </w:r>
      <w:r>
        <w:rPr>
          <w:rFonts w:ascii="Calibri" w:cs="Calibri" w:eastAsia="Calibri" w:hAnsi="Calibri"/>
          <w:b/>
          <w:bCs/>
          <w:color w:val="152540"/>
          <w:sz w:val="19"/>
          <w:szCs w:val="19"/>
        </w:rPr>
        <w:t xml:space="preserve">acceptable use</w:t>
      </w:r>
      <w:r>
        <w:rPr>
          <w:rFonts w:ascii="Calibri" w:cs="Calibri" w:eastAsia="Calibri" w:hAnsi="Calibri"/>
          <w:color w:val="1F2733"/>
          <w:sz w:val="19"/>
          <w:szCs w:val="19"/>
        </w:rPr>
        <w:t xml:space="preserve"> of AI tools, including generative AI.</w:t>
      </w:r>
    </w:p>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9860"/>
      </w:tblGrid>
      <w:tr>
        <w:tc>
          <w:tcPr>
            <w:tcW w:type="dxa" w:w="9860"/>
            <w:tcBorders>
              <w:top w:val="none" w:color="FFFFFF" w:sz="0"/>
              <w:left w:val="single" w:color="D30D50" w:sz="26"/>
              <w:bottom w:val="none" w:color="FFFFFF" w:sz="0"/>
              <w:right w:val="none" w:color="FFFFFF" w:sz="0"/>
            </w:tcBorders>
            <w:shd w:fill="FBE7EE" w:color="auto" w:val="clear"/>
            <w:tcMar>
              <w:top w:type="dxa" w:w="120"/>
              <w:left w:type="dxa" w:w="200"/>
              <w:bottom w:type="dxa" w:w="120"/>
              <w:right w:type="dxa" w:w="160"/>
            </w:tcMar>
          </w:tcPr>
          <w:p>
            <w:pPr>
              <w:spacing w:after="60"/>
            </w:pPr>
            <w:r>
              <w:rPr>
                <w:rFonts w:ascii="Calibri" w:cs="Calibri" w:eastAsia="Calibri" w:hAnsi="Calibri"/>
                <w:b/>
                <w:bCs/>
                <w:color w:val="D30D50"/>
                <w:spacing w:val="20"/>
                <w:sz w:val="15"/>
                <w:szCs w:val="15"/>
              </w:rPr>
              <w:t xml:space="preserve">TEMPLATE GUIDANCE</w:t>
            </w:r>
          </w:p>
          <w:p>
            <w:pPr>
              <w:spacing w:after="40"/>
              <w:jc w:val="both"/>
            </w:pPr>
            <w:r>
              <w:rPr>
                <w:rFonts w:ascii="Calibri" w:cs="Calibri" w:eastAsia="Calibri" w:hAnsi="Calibri"/>
                <w:color w:val="1F2733"/>
                <w:sz w:val="17"/>
                <w:szCs w:val="17"/>
              </w:rPr>
              <w:t xml:space="preserve">Tailor the objectives to your strategic context. If AI is central to your products or services (for example a platform that offers AI features to customers), add product-safety and customer-trust objectives here and reference the relevant product-security standards.</w:t>
            </w:r>
          </w:p>
        </w:tc>
      </w:tr>
    </w:tbl>
    <w:p>
      <w:pPr>
        <w:pStyle w:val="Heading1"/>
        <w:keepNext/>
        <w:pBdr>
          <w:bottom w:val="single" w:color="D30D50" w:sz="14" w:space="6"/>
        </w:pBdr>
        <w:spacing w:after="140" w:before="320"/>
      </w:pPr>
      <w:r>
        <w:rPr>
          <w:rFonts w:ascii="Calibri" w:cs="Calibri" w:eastAsia="Calibri" w:hAnsi="Calibri"/>
          <w:b/>
          <w:bCs/>
          <w:color w:val="D30D50"/>
          <w:sz w:val="28"/>
          <w:szCs w:val="28"/>
        </w:rPr>
        <w:t xml:space="preserve">2   </w:t>
      </w:r>
      <w:r>
        <w:rPr>
          <w:rFonts w:ascii="Calibri" w:cs="Calibri" w:eastAsia="Calibri" w:hAnsi="Calibri"/>
          <w:b/>
          <w:bCs/>
          <w:color w:val="152540"/>
          <w:sz w:val="28"/>
          <w:szCs w:val="28"/>
        </w:rPr>
        <w:t xml:space="preserve">Scope</w:t>
      </w:r>
    </w:p>
    <w:p>
      <w:pPr>
        <w:spacing w:after="120"/>
        <w:jc w:val="both"/>
      </w:pPr>
      <w:r>
        <w:rPr>
          <w:rFonts w:ascii="Calibri" w:cs="Calibri" w:eastAsia="Calibri" w:hAnsi="Calibri"/>
          <w:color w:val="1F2733"/>
          <w:sz w:val="19"/>
          <w:szCs w:val="19"/>
        </w:rPr>
        <w:t xml:space="preserve">This policy applies to </w:t>
      </w:r>
      <w:r>
        <w:rPr>
          <w:rFonts w:ascii="Calibri" w:cs="Calibri" w:eastAsia="Calibri" w:hAnsi="Calibri"/>
          <w:b/>
          <w:bCs/>
          <w:color w:val="152540"/>
          <w:sz w:val="19"/>
          <w:szCs w:val="19"/>
        </w:rPr>
        <w:t xml:space="preserve">all AI systems</w:t>
      </w:r>
      <w:r>
        <w:rPr>
          <w:rFonts w:ascii="Calibri" w:cs="Calibri" w:eastAsia="Calibri" w:hAnsi="Calibri"/>
          <w:color w:val="1F2733"/>
          <w:sz w:val="19"/>
          <w:szCs w:val="19"/>
        </w:rPr>
        <w:t xml:space="preserve"> that are developed, procured, integrated, fine-tuned, hosted or used by or on behalf of the organisation, regardless of whether they are built in-house, obtained from third parties, embedded in other software, or accessed as a cloud service.</w:t>
      </w:r>
    </w:p>
    <w:p>
      <w:pPr>
        <w:pStyle w:val="Heading2"/>
        <w:keepNext/>
        <w:spacing w:after="90" w:before="220"/>
      </w:pPr>
      <w:r>
        <w:rPr>
          <w:rFonts w:ascii="Calibri" w:cs="Calibri" w:eastAsia="Calibri" w:hAnsi="Calibri"/>
          <w:b/>
          <w:bCs/>
          <w:color w:val="D30D50"/>
          <w:sz w:val="22"/>
          <w:szCs w:val="22"/>
        </w:rPr>
        <w:t xml:space="preserve">2.1  </w:t>
      </w:r>
      <w:r>
        <w:rPr>
          <w:rFonts w:ascii="Calibri" w:cs="Calibri" w:eastAsia="Calibri" w:hAnsi="Calibri"/>
          <w:b/>
          <w:bCs/>
          <w:color w:val="243A5E"/>
          <w:sz w:val="22"/>
          <w:szCs w:val="22"/>
        </w:rPr>
        <w:t xml:space="preserve">In scope</w:t>
      </w:r>
    </w:p>
    <w:p>
      <w:pPr>
        <w:pStyle w:val="ListParagraph"/>
        <w:numPr>
          <w:ilvl w:val="0"/>
          <w:numId w:val="2"/>
        </w:numPr>
        <w:spacing w:after="50"/>
        <w:jc w:val="both"/>
      </w:pPr>
      <w:r>
        <w:rPr>
          <w:rFonts w:ascii="Calibri" w:cs="Calibri" w:eastAsia="Calibri" w:hAnsi="Calibri"/>
          <w:b/>
          <w:bCs/>
          <w:color w:val="152540"/>
          <w:sz w:val="19"/>
          <w:szCs w:val="19"/>
        </w:rPr>
        <w:t xml:space="preserve">Predictive and analytical AI</w:t>
      </w:r>
      <w:r>
        <w:rPr>
          <w:rFonts w:ascii="Calibri" w:cs="Calibri" w:eastAsia="Calibri" w:hAnsi="Calibri"/>
          <w:color w:val="1F2733"/>
          <w:sz w:val="19"/>
          <w:szCs w:val="19"/>
        </w:rPr>
        <w:t xml:space="preserve"> — machine-learning models used for classification, scoring, forecasting, recommendation, anomaly detection and automation.</w:t>
      </w:r>
    </w:p>
    <w:p>
      <w:pPr>
        <w:pStyle w:val="ListParagraph"/>
        <w:numPr>
          <w:ilvl w:val="0"/>
          <w:numId w:val="2"/>
        </w:numPr>
        <w:spacing w:after="50"/>
        <w:jc w:val="both"/>
      </w:pPr>
      <w:r>
        <w:rPr>
          <w:rFonts w:ascii="Calibri" w:cs="Calibri" w:eastAsia="Calibri" w:hAnsi="Calibri"/>
          <w:b/>
          <w:bCs/>
          <w:color w:val="152540"/>
          <w:sz w:val="19"/>
          <w:szCs w:val="19"/>
        </w:rPr>
        <w:t xml:space="preserve">Generative AI</w:t>
      </w:r>
      <w:r>
        <w:rPr>
          <w:rFonts w:ascii="Calibri" w:cs="Calibri" w:eastAsia="Calibri" w:hAnsi="Calibri"/>
          <w:color w:val="1F2733"/>
          <w:sz w:val="19"/>
          <w:szCs w:val="19"/>
        </w:rPr>
        <w:t xml:space="preserve"> — large language models (LLMs), image, audio, video and code generation tools, including public services and embedded copilots.</w:t>
      </w:r>
    </w:p>
    <w:p>
      <w:pPr>
        <w:pStyle w:val="ListParagraph"/>
        <w:numPr>
          <w:ilvl w:val="0"/>
          <w:numId w:val="2"/>
        </w:numPr>
        <w:spacing w:after="50"/>
        <w:jc w:val="both"/>
      </w:pPr>
      <w:r>
        <w:rPr>
          <w:rFonts w:ascii="Calibri" w:cs="Calibri" w:eastAsia="Calibri" w:hAnsi="Calibri"/>
          <w:b/>
          <w:bCs/>
          <w:color w:val="152540"/>
          <w:sz w:val="19"/>
          <w:szCs w:val="19"/>
        </w:rPr>
        <w:t xml:space="preserve">Agentic and autonomous systems</w:t>
      </w:r>
      <w:r>
        <w:rPr>
          <w:rFonts w:ascii="Calibri" w:cs="Calibri" w:eastAsia="Calibri" w:hAnsi="Calibri"/>
          <w:color w:val="1F2733"/>
          <w:sz w:val="19"/>
          <w:szCs w:val="19"/>
        </w:rPr>
        <w:t xml:space="preserve"> — AI that takes actions, invokes tools, or orchestrates workflows with limited human intervention.</w:t>
      </w:r>
    </w:p>
    <w:p>
      <w:pPr>
        <w:pStyle w:val="ListParagraph"/>
        <w:numPr>
          <w:ilvl w:val="0"/>
          <w:numId w:val="2"/>
        </w:numPr>
        <w:spacing w:after="50"/>
        <w:jc w:val="both"/>
      </w:pPr>
      <w:r>
        <w:rPr>
          <w:rFonts w:ascii="Calibri" w:cs="Calibri" w:eastAsia="Calibri" w:hAnsi="Calibri"/>
          <w:b/>
          <w:bCs/>
          <w:color w:val="152540"/>
          <w:sz w:val="19"/>
          <w:szCs w:val="19"/>
        </w:rPr>
        <w:t xml:space="preserve">Third-party AI features</w:t>
      </w:r>
      <w:r>
        <w:rPr>
          <w:rFonts w:ascii="Calibri" w:cs="Calibri" w:eastAsia="Calibri" w:hAnsi="Calibri"/>
          <w:color w:val="1F2733"/>
          <w:sz w:val="19"/>
          <w:szCs w:val="19"/>
        </w:rPr>
        <w:t xml:space="preserve"> embedded within SaaS or enterprise applications the organisation uses.</w:t>
      </w:r>
    </w:p>
    <w:p>
      <w:pPr>
        <w:pStyle w:val="ListParagraph"/>
        <w:numPr>
          <w:ilvl w:val="0"/>
          <w:numId w:val="2"/>
        </w:numPr>
        <w:spacing w:after="50"/>
        <w:jc w:val="both"/>
      </w:pPr>
      <w:r>
        <w:rPr>
          <w:rFonts w:ascii="Calibri" w:cs="Calibri" w:eastAsia="Calibri" w:hAnsi="Calibri"/>
          <w:color w:val="1F2733"/>
          <w:sz w:val="19"/>
          <w:szCs w:val="19"/>
        </w:rPr>
        <w:t xml:space="preserve">The </w:t>
      </w:r>
      <w:r>
        <w:rPr>
          <w:rFonts w:ascii="Calibri" w:cs="Calibri" w:eastAsia="Calibri" w:hAnsi="Calibri"/>
          <w:b/>
          <w:bCs/>
          <w:color w:val="152540"/>
          <w:sz w:val="19"/>
          <w:szCs w:val="19"/>
        </w:rPr>
        <w:t xml:space="preserve">data, models, prompts, pipelines and infrastructure</w:t>
      </w:r>
      <w:r>
        <w:rPr>
          <w:rFonts w:ascii="Calibri" w:cs="Calibri" w:eastAsia="Calibri" w:hAnsi="Calibri"/>
          <w:color w:val="1F2733"/>
          <w:sz w:val="19"/>
          <w:szCs w:val="19"/>
        </w:rPr>
        <w:t xml:space="preserve"> supporting the above.</w:t>
      </w:r>
    </w:p>
    <w:p>
      <w:pPr>
        <w:pStyle w:val="Heading2"/>
        <w:keepNext/>
        <w:spacing w:after="90" w:before="220"/>
      </w:pPr>
      <w:r>
        <w:rPr>
          <w:rFonts w:ascii="Calibri" w:cs="Calibri" w:eastAsia="Calibri" w:hAnsi="Calibri"/>
          <w:b/>
          <w:bCs/>
          <w:color w:val="D30D50"/>
          <w:sz w:val="22"/>
          <w:szCs w:val="22"/>
        </w:rPr>
        <w:t xml:space="preserve">2.2  </w:t>
      </w:r>
      <w:r>
        <w:rPr>
          <w:rFonts w:ascii="Calibri" w:cs="Calibri" w:eastAsia="Calibri" w:hAnsi="Calibri"/>
          <w:b/>
          <w:bCs/>
          <w:color w:val="243A5E"/>
          <w:sz w:val="22"/>
          <w:szCs w:val="22"/>
        </w:rPr>
        <w:t xml:space="preserve">Who this policy applies to</w:t>
      </w:r>
    </w:p>
    <w:p>
      <w:pPr>
        <w:spacing w:after="120"/>
        <w:jc w:val="both"/>
      </w:pPr>
      <w:r>
        <w:rPr>
          <w:rFonts w:ascii="Calibri" w:cs="Calibri" w:eastAsia="Calibri" w:hAnsi="Calibri"/>
          <w:color w:val="1F2733"/>
          <w:sz w:val="19"/>
          <w:szCs w:val="19"/>
        </w:rPr>
        <w:t xml:space="preserve">All employees, officers, contractors, consultants, temporary staff, interns, partners and any third party who uses, develops, procures or manages AI on behalf of the organisation.</w:t>
      </w:r>
    </w:p>
    <w:p>
      <w:pPr>
        <w:pStyle w:val="Heading2"/>
        <w:keepNext/>
        <w:spacing w:after="90" w:before="220"/>
      </w:pPr>
      <w:r>
        <w:rPr>
          <w:rFonts w:ascii="Calibri" w:cs="Calibri" w:eastAsia="Calibri" w:hAnsi="Calibri"/>
          <w:b/>
          <w:bCs/>
          <w:color w:val="D30D50"/>
          <w:sz w:val="22"/>
          <w:szCs w:val="22"/>
        </w:rPr>
        <w:t xml:space="preserve">2.3  </w:t>
      </w:r>
      <w:r>
        <w:rPr>
          <w:rFonts w:ascii="Calibri" w:cs="Calibri" w:eastAsia="Calibri" w:hAnsi="Calibri"/>
          <w:b/>
          <w:bCs/>
          <w:color w:val="243A5E"/>
          <w:sz w:val="22"/>
          <w:szCs w:val="22"/>
        </w:rPr>
        <w:t xml:space="preserve">Relationship to other policies</w:t>
      </w:r>
    </w:p>
    <w:p>
      <w:pPr>
        <w:spacing w:after="120"/>
        <w:jc w:val="both"/>
      </w:pPr>
      <w:r>
        <w:rPr>
          <w:rFonts w:ascii="Calibri" w:cs="Calibri" w:eastAsia="Calibri" w:hAnsi="Calibri"/>
          <w:color w:val="1F2733"/>
          <w:sz w:val="19"/>
          <w:szCs w:val="19"/>
        </w:rPr>
        <w:t xml:space="preserve">This policy operates alongside, and does not replace, the organisation’s existing governance framework. It should be read together with the Information Security Policy, Data Protection / Privacy Policy, Acceptable Use Policy, Access Control Policy, Supplier / Third-Party Risk Policy, Incident Response Plan and Records Management Policy. Where a conflict arises, the more restrictive control applies unless a formal exception is granted under Section 17.</w:t>
      </w:r>
    </w:p>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9860"/>
      </w:tblGrid>
      <w:tr>
        <w:tc>
          <w:tcPr>
            <w:tcW w:type="dxa" w:w="9860"/>
            <w:tcBorders>
              <w:top w:val="none" w:color="FFFFFF" w:sz="0"/>
              <w:left w:val="single" w:color="3A5F9E" w:sz="26"/>
              <w:bottom w:val="none" w:color="FFFFFF" w:sz="0"/>
              <w:right w:val="none" w:color="FFFFFF" w:sz="0"/>
            </w:tcBorders>
            <w:shd w:fill="EEF2FB" w:color="auto" w:val="clear"/>
            <w:tcMar>
              <w:top w:type="dxa" w:w="120"/>
              <w:left w:type="dxa" w:w="200"/>
              <w:bottom w:type="dxa" w:w="120"/>
              <w:right w:type="dxa" w:w="160"/>
            </w:tcMar>
          </w:tcPr>
          <w:p>
            <w:pPr>
              <w:spacing w:after="60"/>
            </w:pPr>
            <w:r>
              <w:rPr>
                <w:rFonts w:ascii="Calibri" w:cs="Calibri" w:eastAsia="Calibri" w:hAnsi="Calibri"/>
                <w:b/>
                <w:bCs/>
                <w:color w:val="3A5F9E"/>
                <w:spacing w:val="20"/>
                <w:sz w:val="15"/>
                <w:szCs w:val="15"/>
              </w:rPr>
              <w:t xml:space="preserve">REGULATORY NOTE</w:t>
            </w:r>
          </w:p>
          <w:p>
            <w:pPr>
              <w:spacing w:after="40"/>
              <w:jc w:val="both"/>
            </w:pPr>
            <w:r>
              <w:rPr>
                <w:rFonts w:ascii="Calibri" w:cs="Calibri" w:eastAsia="Calibri" w:hAnsi="Calibri"/>
                <w:color w:val="1F2733"/>
                <w:sz w:val="17"/>
                <w:szCs w:val="17"/>
              </w:rPr>
              <w:t xml:space="preserve">If the organisation places AI systems on the market or into service within the EU, or its output is used in the EU, obligations under the EU AI Act may apply irrespective of where the organisation is established. Swiss-based organisations should also account for the revised Federal Act on Data Protection (revFADP/nDSG) and, where relevant, sector rules such as NIS2 and DORA for entities serving EU regulated markets.</w:t>
            </w:r>
          </w:p>
        </w:tc>
      </w:tr>
    </w:tbl>
    <w:p>
      <w:pPr>
        <w:pStyle w:val="Heading1"/>
        <w:keepNext/>
        <w:pBdr>
          <w:bottom w:val="single" w:color="D30D50" w:sz="14" w:space="6"/>
        </w:pBdr>
        <w:spacing w:after="140" w:before="320"/>
      </w:pPr>
      <w:r>
        <w:rPr>
          <w:rFonts w:ascii="Calibri" w:cs="Calibri" w:eastAsia="Calibri" w:hAnsi="Calibri"/>
          <w:b/>
          <w:bCs/>
          <w:color w:val="D30D50"/>
          <w:sz w:val="28"/>
          <w:szCs w:val="28"/>
        </w:rPr>
        <w:t xml:space="preserve">3   </w:t>
      </w:r>
      <w:r>
        <w:rPr>
          <w:rFonts w:ascii="Calibri" w:cs="Calibri" w:eastAsia="Calibri" w:hAnsi="Calibri"/>
          <w:b/>
          <w:bCs/>
          <w:color w:val="152540"/>
          <w:sz w:val="28"/>
          <w:szCs w:val="28"/>
        </w:rPr>
        <w:t xml:space="preserve">Definitions and Terminology</w:t>
      </w:r>
    </w:p>
    <w:p>
      <w:pPr>
        <w:spacing w:after="120"/>
        <w:jc w:val="both"/>
      </w:pPr>
      <w:r>
        <w:rPr>
          <w:rFonts w:ascii="Calibri" w:cs="Calibri" w:eastAsia="Calibri" w:hAnsi="Calibri"/>
          <w:color w:val="1F2733"/>
          <w:sz w:val="19"/>
          <w:szCs w:val="19"/>
        </w:rPr>
        <w:t xml:space="preserve">The following definitions apply throughout this policy. Where terms are also defined in applicable law or standards, the statutory or standard definition prevails.</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2900"/>
        <w:gridCol w:w="6960"/>
      </w:tblGrid>
      <w:tr>
        <w:trPr>
          <w:tblHeader/>
        </w:trPr>
        <w:tc>
          <w:tcPr>
            <w:tcW w:type="dxa" w:w="29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Term</w:t>
            </w:r>
          </w:p>
        </w:tc>
        <w:tc>
          <w:tcPr>
            <w:tcW w:type="dxa" w:w="696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Definition</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AI system</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 machine-based system that, for a set of objectives, generates outputs such as predictions, recommendations, content or decisions that influence physical or virtual environments.</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Generative AI</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AI capable of producing new content — text, code, images, audio or video — typically based on large foundation or language models.</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Foundation model</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 large, general-purpose model trained on broad data that can be adapted to many downstream tasks.</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Model / system owner</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The accountable individual responsible for a specific AI system throughout its lifecycle.</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Training / fine-tuning data</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Data used to build, adapt or specialise a model, including labelled datasets and organisational data used for fine-tuning.</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Prompt</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The input provided to a generative model, including system instructions and user content, that shapes the output.</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Prompt injection</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An attack in which crafted input causes a model to ignore its instructions or perform unintended actions.</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Model poisoning</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Manipulation of training data or model parameters to introduce hidden or malicious behaviour.</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Hallucination</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Plausible-sounding but incorrect or fabricated output produced by a generative model.</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Shadow AI</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Use of AI tools or services that have not been approved or are not visible to the organisation’s governance function.</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Human oversight</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Meaningful human review, intervention or control over an AI system’s operation and outputs.</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High-risk AI system</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 system whose failure or misuse could materially harm individuals, the organisation or third parties, or that is designated high-risk under applicable law.</w:t>
            </w:r>
          </w:p>
        </w:tc>
      </w:tr>
    </w:tbl>
    <w:p>
      <w:pPr>
        <w:pStyle w:val="Heading1"/>
        <w:keepNext/>
        <w:pBdr>
          <w:bottom w:val="single" w:color="D30D50" w:sz="14" w:space="6"/>
        </w:pBdr>
        <w:spacing w:after="140" w:before="320"/>
      </w:pPr>
      <w:r>
        <w:rPr>
          <w:rFonts w:ascii="Calibri" w:cs="Calibri" w:eastAsia="Calibri" w:hAnsi="Calibri"/>
          <w:b/>
          <w:bCs/>
          <w:color w:val="D30D50"/>
          <w:sz w:val="28"/>
          <w:szCs w:val="28"/>
        </w:rPr>
        <w:t xml:space="preserve">4   </w:t>
      </w:r>
      <w:r>
        <w:rPr>
          <w:rFonts w:ascii="Calibri" w:cs="Calibri" w:eastAsia="Calibri" w:hAnsi="Calibri"/>
          <w:b/>
          <w:bCs/>
          <w:color w:val="152540"/>
          <w:sz w:val="28"/>
          <w:szCs w:val="28"/>
        </w:rPr>
        <w:t xml:space="preserve">Policy Principles</w:t>
      </w:r>
    </w:p>
    <w:p>
      <w:pPr>
        <w:spacing w:after="120"/>
        <w:jc w:val="both"/>
      </w:pPr>
      <w:r>
        <w:rPr>
          <w:rFonts w:ascii="Calibri" w:cs="Calibri" w:eastAsia="Calibri" w:hAnsi="Calibri"/>
          <w:color w:val="1F2733"/>
          <w:sz w:val="19"/>
          <w:szCs w:val="19"/>
        </w:rPr>
        <w:t xml:space="preserve">All use of AI within the organisation is governed by the following principles. They apply throughout the AI lifecycle and take precedence when interpreting specific requirements of this policy.</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2900"/>
        <w:gridCol w:w="6960"/>
      </w:tblGrid>
      <w:tr>
        <w:trPr>
          <w:tblHeader/>
        </w:trPr>
        <w:tc>
          <w:tcPr>
            <w:tcW w:type="dxa" w:w="29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Principle</w:t>
            </w:r>
          </w:p>
        </w:tc>
        <w:tc>
          <w:tcPr>
            <w:tcW w:type="dxa" w:w="696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What it means in practice</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b/>
                <w:bCs/>
                <w:color w:val="152540"/>
                <w:sz w:val="17"/>
                <w:szCs w:val="17"/>
              </w:rPr>
              <w:t xml:space="preserve">Accountable</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Every AI system has a named owner. Accountability for outcomes remains with people, not with the AI. AI does not dilute or transfer human responsibility.</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b/>
                <w:bCs/>
                <w:color w:val="152540"/>
                <w:sz w:val="17"/>
                <w:szCs w:val="17"/>
              </w:rPr>
              <w:t xml:space="preserve">Risk-based &amp; proportionate</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Controls are applied in proportion to the potential impact of the system. Higher-risk uses receive stronger scrutiny and safeguards.</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b/>
                <w:bCs/>
                <w:color w:val="152540"/>
                <w:sz w:val="17"/>
                <w:szCs w:val="17"/>
              </w:rPr>
              <w:t xml:space="preserve">Secure by design</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Security, privacy and safety requirements are considered from inception and built into the design, not added afterwards.</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b/>
                <w:bCs/>
                <w:color w:val="152540"/>
                <w:sz w:val="17"/>
                <w:szCs w:val="17"/>
              </w:rPr>
              <w:t xml:space="preserve">Lawful &amp; ethical</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AI is used in compliance with the law and the organisation’s values, avoiding unfair bias, discrimination and harm.</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b/>
                <w:bCs/>
                <w:color w:val="152540"/>
                <w:sz w:val="17"/>
                <w:szCs w:val="17"/>
              </w:rPr>
              <w:t xml:space="preserve">Transparent</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The use of AI is documented and, where it affects people, disclosed. Decisions can be explained to an appropriate degree.</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b/>
                <w:bCs/>
                <w:color w:val="152540"/>
                <w:sz w:val="17"/>
                <w:szCs w:val="17"/>
              </w:rPr>
              <w:t xml:space="preserve">Human-centric</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Meaningful human oversight is maintained; AI supports rather than unaccountably replaces human judgement in consequential decisions.</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b/>
                <w:bCs/>
                <w:color w:val="152540"/>
                <w:sz w:val="17"/>
                <w:szCs w:val="17"/>
              </w:rPr>
              <w:t xml:space="preserve">Data-protective</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Personal and confidential data are minimised, protected and processed only for legitimate, defined purposes.</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b/>
                <w:bCs/>
                <w:color w:val="152540"/>
                <w:sz w:val="17"/>
                <w:szCs w:val="17"/>
              </w:rPr>
              <w:t xml:space="preserve">Monitored &amp; improved</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AI systems are continuously monitored for performance, drift, security and misuse, and improved over their lifecycle.</w:t>
            </w:r>
          </w:p>
        </w:tc>
      </w:tr>
    </w:tbl>
    <w:p>
      <w:pPr>
        <w:pStyle w:val="Heading1"/>
        <w:keepNext/>
        <w:pBdr>
          <w:bottom w:val="single" w:color="D30D50" w:sz="14" w:space="6"/>
        </w:pBdr>
        <w:spacing w:after="140" w:before="320"/>
      </w:pPr>
      <w:r>
        <w:rPr>
          <w:rFonts w:ascii="Calibri" w:cs="Calibri" w:eastAsia="Calibri" w:hAnsi="Calibri"/>
          <w:b/>
          <w:bCs/>
          <w:color w:val="D30D50"/>
          <w:sz w:val="28"/>
          <w:szCs w:val="28"/>
        </w:rPr>
        <w:t xml:space="preserve">5   </w:t>
      </w:r>
      <w:r>
        <w:rPr>
          <w:rFonts w:ascii="Calibri" w:cs="Calibri" w:eastAsia="Calibri" w:hAnsi="Calibri"/>
          <w:b/>
          <w:bCs/>
          <w:color w:val="152540"/>
          <w:sz w:val="28"/>
          <w:szCs w:val="28"/>
        </w:rPr>
        <w:t xml:space="preserve">Governance and Organisational Structure</w:t>
      </w:r>
    </w:p>
    <w:p>
      <w:pPr>
        <w:spacing w:after="120"/>
        <w:jc w:val="both"/>
      </w:pPr>
      <w:r>
        <w:rPr>
          <w:rFonts w:ascii="Calibri" w:cs="Calibri" w:eastAsia="Calibri" w:hAnsi="Calibri"/>
          <w:color w:val="1F2733"/>
          <w:sz w:val="19"/>
          <w:szCs w:val="19"/>
        </w:rPr>
        <w:t xml:space="preserve">Effective AI governance requires clear ownership at every level. The organisation establishes the following governance structure to direct, oversee and continually improve the secure use of AI.</w:t>
      </w:r>
    </w:p>
    <w:p>
      <w:pPr>
        <w:pStyle w:val="Heading2"/>
        <w:keepNext/>
        <w:spacing w:after="90" w:before="220"/>
      </w:pPr>
      <w:r>
        <w:rPr>
          <w:rFonts w:ascii="Calibri" w:cs="Calibri" w:eastAsia="Calibri" w:hAnsi="Calibri"/>
          <w:b/>
          <w:bCs/>
          <w:color w:val="D30D50"/>
          <w:sz w:val="22"/>
          <w:szCs w:val="22"/>
        </w:rPr>
        <w:t xml:space="preserve">5.1  </w:t>
      </w:r>
      <w:r>
        <w:rPr>
          <w:rFonts w:ascii="Calibri" w:cs="Calibri" w:eastAsia="Calibri" w:hAnsi="Calibri"/>
          <w:b/>
          <w:bCs/>
          <w:color w:val="243A5E"/>
          <w:sz w:val="22"/>
          <w:szCs w:val="22"/>
        </w:rPr>
        <w:t xml:space="preserve">Governance bodies</w:t>
      </w:r>
    </w:p>
    <w:p>
      <w:pPr>
        <w:pStyle w:val="ListParagraph"/>
        <w:numPr>
          <w:ilvl w:val="0"/>
          <w:numId w:val="2"/>
        </w:numPr>
        <w:spacing w:after="50"/>
        <w:jc w:val="both"/>
      </w:pPr>
      <w:r>
        <w:rPr>
          <w:rFonts w:ascii="Calibri" w:cs="Calibri" w:eastAsia="Calibri" w:hAnsi="Calibri"/>
          <w:b/>
          <w:bCs/>
          <w:color w:val="152540"/>
          <w:sz w:val="19"/>
          <w:szCs w:val="19"/>
        </w:rPr>
        <w:t xml:space="preserve">Executive Management / Board.</w:t>
      </w:r>
      <w:r>
        <w:rPr>
          <w:rFonts w:ascii="Calibri" w:cs="Calibri" w:eastAsia="Calibri" w:hAnsi="Calibri"/>
          <w:color w:val="1F2733"/>
          <w:sz w:val="19"/>
          <w:szCs w:val="19"/>
        </w:rPr>
        <w:t xml:space="preserve"> Sets the risk appetite for AI, approves this policy, and provides resources and mandate for its enforcement.</w:t>
      </w:r>
    </w:p>
    <w:p>
      <w:pPr>
        <w:pStyle w:val="ListParagraph"/>
        <w:numPr>
          <w:ilvl w:val="0"/>
          <w:numId w:val="2"/>
        </w:numPr>
        <w:spacing w:after="50"/>
        <w:jc w:val="both"/>
      </w:pPr>
      <w:r>
        <w:rPr>
          <w:rFonts w:ascii="Calibri" w:cs="Calibri" w:eastAsia="Calibri" w:hAnsi="Calibri"/>
          <w:b/>
          <w:bCs/>
          <w:color w:val="152540"/>
          <w:sz w:val="19"/>
          <w:szCs w:val="19"/>
        </w:rPr>
        <w:t xml:space="preserve">AI Governance Committee.</w:t>
      </w:r>
      <w:r>
        <w:rPr>
          <w:rFonts w:ascii="Calibri" w:cs="Calibri" w:eastAsia="Calibri" w:hAnsi="Calibri"/>
          <w:color w:val="1F2733"/>
          <w:sz w:val="19"/>
          <w:szCs w:val="19"/>
        </w:rPr>
        <w:t xml:space="preserve"> A cross-functional body (security, data protection, legal, IT, business, and where relevant ethics) that oversees the AI portfolio, approves high-risk use cases, reviews the AI register, and resolves escalations. It meets at least </w:t>
      </w:r>
      <w:r>
        <w:rPr>
          <w:rFonts w:ascii="Calibri" w:cs="Calibri" w:eastAsia="Calibri" w:hAnsi="Calibri"/>
          <w:b/>
          <w:bCs/>
          <w:color w:val="D30D50"/>
          <w:sz w:val="19"/>
          <w:szCs w:val="19"/>
        </w:rPr>
        <w:t xml:space="preserve">[quarterly]</w:t>
      </w:r>
      <w:r>
        <w:rPr>
          <w:rFonts w:ascii="Calibri" w:cs="Calibri" w:eastAsia="Calibri" w:hAnsi="Calibri"/>
          <w:color w:val="1F2733"/>
          <w:sz w:val="19"/>
          <w:szCs w:val="19"/>
        </w:rPr>
        <w:t xml:space="preserve">.</w:t>
      </w:r>
    </w:p>
    <w:p>
      <w:pPr>
        <w:pStyle w:val="ListParagraph"/>
        <w:numPr>
          <w:ilvl w:val="0"/>
          <w:numId w:val="2"/>
        </w:numPr>
        <w:spacing w:after="50"/>
        <w:jc w:val="both"/>
      </w:pPr>
      <w:r>
        <w:rPr>
          <w:rFonts w:ascii="Calibri" w:cs="Calibri" w:eastAsia="Calibri" w:hAnsi="Calibri"/>
          <w:b/>
          <w:bCs/>
          <w:color w:val="152540"/>
          <w:sz w:val="19"/>
          <w:szCs w:val="19"/>
        </w:rPr>
        <w:t xml:space="preserve">Security &amp; Risk function (CISO).</w:t>
      </w:r>
      <w:r>
        <w:rPr>
          <w:rFonts w:ascii="Calibri" w:cs="Calibri" w:eastAsia="Calibri" w:hAnsi="Calibri"/>
          <w:color w:val="1F2733"/>
          <w:sz w:val="19"/>
          <w:szCs w:val="19"/>
        </w:rPr>
        <w:t xml:space="preserve"> Owns this policy, defines AI security controls, and integrates AI risk into the enterprise security programme.</w:t>
      </w:r>
    </w:p>
    <w:p>
      <w:pPr>
        <w:pStyle w:val="Heading2"/>
        <w:keepNext/>
        <w:spacing w:after="90" w:before="220"/>
      </w:pPr>
      <w:r>
        <w:rPr>
          <w:rFonts w:ascii="Calibri" w:cs="Calibri" w:eastAsia="Calibri" w:hAnsi="Calibri"/>
          <w:b/>
          <w:bCs/>
          <w:color w:val="D30D50"/>
          <w:sz w:val="22"/>
          <w:szCs w:val="22"/>
        </w:rPr>
        <w:t xml:space="preserve">5.2  </w:t>
      </w:r>
      <w:r>
        <w:rPr>
          <w:rFonts w:ascii="Calibri" w:cs="Calibri" w:eastAsia="Calibri" w:hAnsi="Calibri"/>
          <w:b/>
          <w:bCs/>
          <w:color w:val="243A5E"/>
          <w:sz w:val="22"/>
          <w:szCs w:val="22"/>
        </w:rPr>
        <w:t xml:space="preserve">Roles and responsibilities</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2900"/>
        <w:gridCol w:w="6960"/>
      </w:tblGrid>
      <w:tr>
        <w:trPr>
          <w:tblHeader/>
        </w:trPr>
        <w:tc>
          <w:tcPr>
            <w:tcW w:type="dxa" w:w="29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Role</w:t>
            </w:r>
          </w:p>
        </w:tc>
        <w:tc>
          <w:tcPr>
            <w:tcW w:type="dxa" w:w="696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Key responsibilities</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Executive Management / Board</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Approve policy and risk appetite; provide oversight and resources; hold the organisation accountable.</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AI Governance Committee</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Approve high-risk use cases; maintain oversight of the AI portfolio; adjudicate exceptions and ethical questions.</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Chief Information Security Officer (CISO)</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Own this policy; define and maintain AI security controls; oversee AI risk assessments, monitoring and incident response.</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Data Protection Officer (DPO)</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Advise on data protection; oversee DPIAs for AI processing of personal data; monitor privacy compliance.</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AI / System Owners</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Own individual AI systems end-to-end; register them; ensure risk assessment, controls, oversight and monitoring are in place.</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Developers / Data Scientists</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Build, fine-tune and integrate models securely; document data sources, testing and limitations; implement required controls.</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IT &amp; Security Operations</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Provide secure infrastructure; manage access, logging and monitoring; detect and respond to AI-related security events.</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Procurement / Vendor Management</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Ensure AI suppliers are assessed and contracted in line with Section 12 before onboarding.</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Legal &amp; Compliance</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Advise on regulatory obligations, intellectual property, contracts and liability; track applicable AI legislation.</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Internal Audit</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Provide independent assurance over the design and operating effectiveness of AI controls.</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All staff &amp; end users</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Use AI only in line with this policy; protect data; report incidents, misuse and shadow AI.</w:t>
            </w:r>
          </w:p>
        </w:tc>
      </w:tr>
    </w:tbl>
    <w:p>
      <w:pPr>
        <w:pStyle w:val="Heading2"/>
        <w:keepNext/>
        <w:spacing w:after="90" w:before="220"/>
      </w:pPr>
      <w:r>
        <w:rPr>
          <w:rFonts w:ascii="Calibri" w:cs="Calibri" w:eastAsia="Calibri" w:hAnsi="Calibri"/>
          <w:b/>
          <w:bCs/>
          <w:color w:val="D30D50"/>
          <w:sz w:val="22"/>
          <w:szCs w:val="22"/>
        </w:rPr>
        <w:t xml:space="preserve">5.3  </w:t>
      </w:r>
      <w:r>
        <w:rPr>
          <w:rFonts w:ascii="Calibri" w:cs="Calibri" w:eastAsia="Calibri" w:hAnsi="Calibri"/>
          <w:b/>
          <w:bCs/>
          <w:color w:val="243A5E"/>
          <w:sz w:val="22"/>
          <w:szCs w:val="22"/>
        </w:rPr>
        <w:t xml:space="preserve">Responsibility (RACI) matrix</w:t>
      </w:r>
    </w:p>
    <w:p>
      <w:pPr>
        <w:spacing w:after="80"/>
      </w:pPr>
      <w:r>
        <w:rPr>
          <w:rFonts w:ascii="Calibri" w:cs="Calibri" w:eastAsia="Calibri" w:hAnsi="Calibri"/>
          <w:i/>
          <w:iCs/>
          <w:color w:val="5A6472"/>
          <w:sz w:val="16"/>
          <w:szCs w:val="16"/>
        </w:rPr>
        <w:t xml:space="preserve">R = Responsible · A = Accountable · C = Consulted · I = Informed. Adapt to your operating model.</w:t>
      </w:r>
    </w:p>
    <w:tbl>
      <w:tblPr>
        <w:tblW w:type="dxa" w:w="9870"/>
        <w:tblBorders>
          <w:top w:val="single" w:color="D5DBE4" w:sz="4"/>
          <w:left w:val="single" w:color="D5DBE4" w:sz="4"/>
          <w:bottom w:val="single" w:color="D5DBE4" w:sz="4"/>
          <w:right w:val="single" w:color="D5DBE4" w:sz="4"/>
          <w:insideH w:val="single" w:color="D5DBE4" w:sz="4"/>
          <w:insideV w:val="single" w:color="D5DBE4" w:sz="4"/>
        </w:tblBorders>
      </w:tblPr>
      <w:tblGrid>
        <w:gridCol w:w="2960"/>
        <w:gridCol w:w="990"/>
        <w:gridCol w:w="990"/>
        <w:gridCol w:w="990"/>
        <w:gridCol w:w="990"/>
        <w:gridCol w:w="990"/>
        <w:gridCol w:w="990"/>
        <w:gridCol w:w="970"/>
      </w:tblGrid>
      <w:tr>
        <w:trPr>
          <w:tblHeader/>
        </w:trPr>
        <w:tc>
          <w:tcPr>
            <w:tcW w:type="dxa" w:w="296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Activity</w:t>
            </w:r>
          </w:p>
        </w:tc>
        <w:tc>
          <w:tcPr>
            <w:tcW w:type="dxa" w:w="990"/>
            <w:shd w:fill="D30D50" w:color="auto" w:val="clear"/>
            <w:tcMar>
              <w:top w:type="dxa" w:w="60"/>
              <w:left w:type="dxa" w:w="90"/>
              <w:bottom w:type="dxa" w:w="60"/>
              <w:right w:type="dxa" w:w="90"/>
            </w:tcMar>
            <w:vAlign w:val="center"/>
          </w:tcPr>
          <w:p>
            <w:pPr>
              <w:spacing w:after="0"/>
              <w:jc w:val="center"/>
            </w:pPr>
            <w:r>
              <w:rPr>
                <w:rFonts w:ascii="Calibri" w:cs="Calibri" w:eastAsia="Calibri" w:hAnsi="Calibri"/>
                <w:b/>
                <w:bCs/>
                <w:color w:val="FFFFFF"/>
                <w:sz w:val="17"/>
                <w:szCs w:val="17"/>
              </w:rPr>
              <w:t xml:space="preserve">Exec</w:t>
            </w:r>
          </w:p>
        </w:tc>
        <w:tc>
          <w:tcPr>
            <w:tcW w:type="dxa" w:w="990"/>
            <w:shd w:fill="D30D50" w:color="auto" w:val="clear"/>
            <w:tcMar>
              <w:top w:type="dxa" w:w="60"/>
              <w:left w:type="dxa" w:w="90"/>
              <w:bottom w:type="dxa" w:w="60"/>
              <w:right w:type="dxa" w:w="90"/>
            </w:tcMar>
            <w:vAlign w:val="center"/>
          </w:tcPr>
          <w:p>
            <w:pPr>
              <w:spacing w:after="0"/>
              <w:jc w:val="center"/>
            </w:pPr>
            <w:r>
              <w:rPr>
                <w:rFonts w:ascii="Calibri" w:cs="Calibri" w:eastAsia="Calibri" w:hAnsi="Calibri"/>
                <w:b/>
                <w:bCs/>
                <w:color w:val="FFFFFF"/>
                <w:sz w:val="17"/>
                <w:szCs w:val="17"/>
              </w:rPr>
              <w:t xml:space="preserve">AI Gov.</w:t>
            </w:r>
          </w:p>
        </w:tc>
        <w:tc>
          <w:tcPr>
            <w:tcW w:type="dxa" w:w="990"/>
            <w:shd w:fill="D30D50" w:color="auto" w:val="clear"/>
            <w:tcMar>
              <w:top w:type="dxa" w:w="60"/>
              <w:left w:type="dxa" w:w="90"/>
              <w:bottom w:type="dxa" w:w="60"/>
              <w:right w:type="dxa" w:w="90"/>
            </w:tcMar>
            <w:vAlign w:val="center"/>
          </w:tcPr>
          <w:p>
            <w:pPr>
              <w:spacing w:after="0"/>
              <w:jc w:val="center"/>
            </w:pPr>
            <w:r>
              <w:rPr>
                <w:rFonts w:ascii="Calibri" w:cs="Calibri" w:eastAsia="Calibri" w:hAnsi="Calibri"/>
                <w:b/>
                <w:bCs/>
                <w:color w:val="FFFFFF"/>
                <w:sz w:val="17"/>
                <w:szCs w:val="17"/>
              </w:rPr>
              <w:t xml:space="preserve">CISO</w:t>
            </w:r>
          </w:p>
        </w:tc>
        <w:tc>
          <w:tcPr>
            <w:tcW w:type="dxa" w:w="990"/>
            <w:shd w:fill="D30D50" w:color="auto" w:val="clear"/>
            <w:tcMar>
              <w:top w:type="dxa" w:w="60"/>
              <w:left w:type="dxa" w:w="90"/>
              <w:bottom w:type="dxa" w:w="60"/>
              <w:right w:type="dxa" w:w="90"/>
            </w:tcMar>
            <w:vAlign w:val="center"/>
          </w:tcPr>
          <w:p>
            <w:pPr>
              <w:spacing w:after="0"/>
              <w:jc w:val="center"/>
            </w:pPr>
            <w:r>
              <w:rPr>
                <w:rFonts w:ascii="Calibri" w:cs="Calibri" w:eastAsia="Calibri" w:hAnsi="Calibri"/>
                <w:b/>
                <w:bCs/>
                <w:color w:val="FFFFFF"/>
                <w:sz w:val="17"/>
                <w:szCs w:val="17"/>
              </w:rPr>
              <w:t xml:space="preserve">DPO</w:t>
            </w:r>
          </w:p>
        </w:tc>
        <w:tc>
          <w:tcPr>
            <w:tcW w:type="dxa" w:w="990"/>
            <w:shd w:fill="D30D50" w:color="auto" w:val="clear"/>
            <w:tcMar>
              <w:top w:type="dxa" w:w="60"/>
              <w:left w:type="dxa" w:w="90"/>
              <w:bottom w:type="dxa" w:w="60"/>
              <w:right w:type="dxa" w:w="90"/>
            </w:tcMar>
            <w:vAlign w:val="center"/>
          </w:tcPr>
          <w:p>
            <w:pPr>
              <w:spacing w:after="0"/>
              <w:jc w:val="center"/>
            </w:pPr>
            <w:r>
              <w:rPr>
                <w:rFonts w:ascii="Calibri" w:cs="Calibri" w:eastAsia="Calibri" w:hAnsi="Calibri"/>
                <w:b/>
                <w:bCs/>
                <w:color w:val="FFFFFF"/>
                <w:sz w:val="17"/>
                <w:szCs w:val="17"/>
              </w:rPr>
              <w:t xml:space="preserve">Owner</w:t>
            </w:r>
          </w:p>
        </w:tc>
        <w:tc>
          <w:tcPr>
            <w:tcW w:type="dxa" w:w="990"/>
            <w:shd w:fill="D30D50" w:color="auto" w:val="clear"/>
            <w:tcMar>
              <w:top w:type="dxa" w:w="60"/>
              <w:left w:type="dxa" w:w="90"/>
              <w:bottom w:type="dxa" w:w="60"/>
              <w:right w:type="dxa" w:w="90"/>
            </w:tcMar>
            <w:vAlign w:val="center"/>
          </w:tcPr>
          <w:p>
            <w:pPr>
              <w:spacing w:after="0"/>
              <w:jc w:val="center"/>
            </w:pPr>
            <w:r>
              <w:rPr>
                <w:rFonts w:ascii="Calibri" w:cs="Calibri" w:eastAsia="Calibri" w:hAnsi="Calibri"/>
                <w:b/>
                <w:bCs/>
                <w:color w:val="FFFFFF"/>
                <w:sz w:val="17"/>
                <w:szCs w:val="17"/>
              </w:rPr>
              <w:t xml:space="preserve">Dev</w:t>
            </w:r>
          </w:p>
        </w:tc>
        <w:tc>
          <w:tcPr>
            <w:tcW w:type="dxa" w:w="970"/>
            <w:shd w:fill="D30D50" w:color="auto" w:val="clear"/>
            <w:tcMar>
              <w:top w:type="dxa" w:w="60"/>
              <w:left w:type="dxa" w:w="90"/>
              <w:bottom w:type="dxa" w:w="60"/>
              <w:right w:type="dxa" w:w="90"/>
            </w:tcMar>
            <w:vAlign w:val="center"/>
          </w:tcPr>
          <w:p>
            <w:pPr>
              <w:spacing w:after="0"/>
              <w:jc w:val="center"/>
            </w:pPr>
            <w:r>
              <w:rPr>
                <w:rFonts w:ascii="Calibri" w:cs="Calibri" w:eastAsia="Calibri" w:hAnsi="Calibri"/>
                <w:b/>
                <w:bCs/>
                <w:color w:val="FFFFFF"/>
                <w:sz w:val="17"/>
                <w:szCs w:val="17"/>
              </w:rPr>
              <w:t xml:space="preserve">Legal</w:t>
            </w:r>
          </w:p>
        </w:tc>
      </w:tr>
      <w:tr>
        <w:tc>
          <w:tcPr>
            <w:tcW w:type="dxa" w:w="2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Approve this policy</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A</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7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r>
      <w:tr>
        <w:tc>
          <w:tcPr>
            <w:tcW w:type="dxa" w:w="2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Register a new AI system</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A/R</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7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r>
      <w:tr>
        <w:tc>
          <w:tcPr>
            <w:tcW w:type="dxa" w:w="2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Perform AI risk assessment</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A</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7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r>
      <w:tr>
        <w:tc>
          <w:tcPr>
            <w:tcW w:type="dxa" w:w="2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Approve high-risk use case</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A</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7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r>
      <w:tr>
        <w:tc>
          <w:tcPr>
            <w:tcW w:type="dxa" w:w="2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Conduct DPIA (personal data)</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A</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7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r>
      <w:tr>
        <w:tc>
          <w:tcPr>
            <w:tcW w:type="dxa" w:w="2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Assess AI supplier</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A</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7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r>
      <w:tr>
        <w:tc>
          <w:tcPr>
            <w:tcW w:type="dxa" w:w="2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Respond to AI security incident</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A</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9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7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r>
      <w:tr>
        <w:tc>
          <w:tcPr>
            <w:tcW w:type="dxa" w:w="2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Grant a policy exception</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A</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R</w:t>
            </w:r>
          </w:p>
        </w:tc>
        <w:tc>
          <w:tcPr>
            <w:tcW w:type="dxa" w:w="99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I</w:t>
            </w:r>
          </w:p>
        </w:tc>
        <w:tc>
          <w:tcPr>
            <w:tcW w:type="dxa" w:w="97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C</w:t>
            </w:r>
          </w:p>
        </w:tc>
      </w:tr>
    </w:tbl>
    <w:p>
      <w:pPr>
        <w:pStyle w:val="Heading1"/>
        <w:keepNext/>
        <w:pBdr>
          <w:bottom w:val="single" w:color="D30D50" w:sz="14" w:space="6"/>
        </w:pBdr>
        <w:spacing w:after="140" w:before="320"/>
      </w:pPr>
      <w:r>
        <w:rPr>
          <w:rFonts w:ascii="Calibri" w:cs="Calibri" w:eastAsia="Calibri" w:hAnsi="Calibri"/>
          <w:b/>
          <w:bCs/>
          <w:color w:val="D30D50"/>
          <w:sz w:val="28"/>
          <w:szCs w:val="28"/>
        </w:rPr>
        <w:t xml:space="preserve">6   </w:t>
      </w:r>
      <w:r>
        <w:rPr>
          <w:rFonts w:ascii="Calibri" w:cs="Calibri" w:eastAsia="Calibri" w:hAnsi="Calibri"/>
          <w:b/>
          <w:bCs/>
          <w:color w:val="152540"/>
          <w:sz w:val="28"/>
          <w:szCs w:val="28"/>
        </w:rPr>
        <w:t xml:space="preserve">AI Risk Management</w:t>
      </w:r>
    </w:p>
    <w:p>
      <w:pPr>
        <w:spacing w:after="120"/>
        <w:jc w:val="both"/>
      </w:pPr>
      <w:r>
        <w:rPr>
          <w:rFonts w:ascii="Calibri" w:cs="Calibri" w:eastAsia="Calibri" w:hAnsi="Calibri"/>
          <w:color w:val="1F2733"/>
          <w:sz w:val="19"/>
          <w:szCs w:val="19"/>
        </w:rPr>
        <w:t xml:space="preserve">AI risk management is integrated into the organisation’s enterprise risk and information security processes. No AI system may enter production without a completed, approved risk assessment proportionate to its classification.</w:t>
      </w:r>
    </w:p>
    <w:p>
      <w:pPr>
        <w:pStyle w:val="Heading2"/>
        <w:keepNext/>
        <w:spacing w:after="90" w:before="220"/>
      </w:pPr>
      <w:r>
        <w:rPr>
          <w:rFonts w:ascii="Calibri" w:cs="Calibri" w:eastAsia="Calibri" w:hAnsi="Calibri"/>
          <w:b/>
          <w:bCs/>
          <w:color w:val="D30D50"/>
          <w:sz w:val="22"/>
          <w:szCs w:val="22"/>
        </w:rPr>
        <w:t xml:space="preserve">6.1  </w:t>
      </w:r>
      <w:r>
        <w:rPr>
          <w:rFonts w:ascii="Calibri" w:cs="Calibri" w:eastAsia="Calibri" w:hAnsi="Calibri"/>
          <w:b/>
          <w:bCs/>
          <w:color w:val="243A5E"/>
          <w:sz w:val="22"/>
          <w:szCs w:val="22"/>
        </w:rPr>
        <w:t xml:space="preserve">Risk-based classification of AI systems</w:t>
      </w:r>
    </w:p>
    <w:p>
      <w:pPr>
        <w:spacing w:after="120"/>
        <w:jc w:val="both"/>
      </w:pPr>
      <w:r>
        <w:rPr>
          <w:rFonts w:ascii="Calibri" w:cs="Calibri" w:eastAsia="Calibri" w:hAnsi="Calibri"/>
          <w:color w:val="1F2733"/>
          <w:sz w:val="19"/>
          <w:szCs w:val="19"/>
        </w:rPr>
        <w:t xml:space="preserve">Each AI system is classified into one of the tiers below at intake and re-evaluated on material change. Classification determines the depth of assessment, controls and oversight required.</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1500"/>
        <w:gridCol w:w="4380"/>
        <w:gridCol w:w="3980"/>
      </w:tblGrid>
      <w:tr>
        <w:trPr>
          <w:tblHeader/>
        </w:trPr>
        <w:tc>
          <w:tcPr>
            <w:tcW w:type="dxa" w:w="15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Tier</w:t>
            </w:r>
          </w:p>
        </w:tc>
        <w:tc>
          <w:tcPr>
            <w:tcW w:type="dxa" w:w="438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Description</w:t>
            </w:r>
          </w:p>
        </w:tc>
        <w:tc>
          <w:tcPr>
            <w:tcW w:type="dxa" w:w="398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Minimum requirements</w:t>
            </w:r>
          </w:p>
        </w:tc>
      </w:tr>
      <w:tr>
        <w:tc>
          <w:tcPr>
            <w:tcW w:type="dxa" w:w="1500"/>
            <w:tcMar>
              <w:top w:type="dxa" w:w="60"/>
              <w:left w:type="dxa" w:w="90"/>
              <w:bottom w:type="dxa" w:w="60"/>
              <w:right w:type="dxa" w:w="90"/>
            </w:tcMar>
            <w:vAlign w:val="center"/>
          </w:tcPr>
          <w:p>
            <w:pPr>
              <w:spacing w:after="0"/>
              <w:jc w:val="left"/>
            </w:pPr>
            <w:r>
              <w:rPr>
                <w:rFonts w:ascii="Calibri" w:cs="Calibri" w:eastAsia="Calibri" w:hAnsi="Calibri"/>
                <w:color w:val="D30D50"/>
                <w:sz w:val="17"/>
                <w:szCs w:val="17"/>
              </w:rPr>
              <w:t xml:space="preserve">Prohibited</w:t>
            </w:r>
          </w:p>
        </w:tc>
        <w:tc>
          <w:tcPr>
            <w:tcW w:type="dxa" w:w="438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Uses that are unlawful, unethical or banned under applicable law (e.g. certain manipulative, social-scoring or unlawful biometric uses).</w:t>
            </w:r>
          </w:p>
        </w:tc>
        <w:tc>
          <w:tcPr>
            <w:tcW w:type="dxa" w:w="398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Not permitted. Any such use must be blocked and escalated to the AI Governance Committee.</w:t>
            </w:r>
          </w:p>
        </w:tc>
      </w:tr>
      <w:tr>
        <w:tc>
          <w:tcPr>
            <w:tcW w:type="dxa" w:w="15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D30D50"/>
                <w:sz w:val="17"/>
                <w:szCs w:val="17"/>
              </w:rPr>
              <w:t xml:space="preserve">High</w:t>
            </w:r>
          </w:p>
        </w:tc>
        <w:tc>
          <w:tcPr>
            <w:tcW w:type="dxa" w:w="438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Systems affecting individuals’ rights, safety, finances or access to services; safety-critical or heavily automated decisions; large-scale personal-data processing.</w:t>
            </w:r>
          </w:p>
        </w:tc>
        <w:tc>
          <w:tcPr>
            <w:tcW w:type="dxa" w:w="398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Full risk assessment + DPIA (if personal data); Committee approval; strong controls; documented human oversight; enhanced monitoring.</w:t>
            </w:r>
          </w:p>
        </w:tc>
      </w:tr>
      <w:tr>
        <w:tc>
          <w:tcPr>
            <w:tcW w:type="dxa" w:w="1500"/>
            <w:tcMar>
              <w:top w:type="dxa" w:w="60"/>
              <w:left w:type="dxa" w:w="90"/>
              <w:bottom w:type="dxa" w:w="60"/>
              <w:right w:type="dxa" w:w="90"/>
            </w:tcMar>
            <w:vAlign w:val="center"/>
          </w:tcPr>
          <w:p>
            <w:pPr>
              <w:spacing w:after="0"/>
              <w:jc w:val="left"/>
            </w:pPr>
            <w:r>
              <w:rPr>
                <w:rFonts w:ascii="Calibri" w:cs="Calibri" w:eastAsia="Calibri" w:hAnsi="Calibri"/>
                <w:color w:val="9A6A10"/>
                <w:sz w:val="17"/>
                <w:szCs w:val="17"/>
              </w:rPr>
              <w:t xml:space="preserve">Limited</w:t>
            </w:r>
          </w:p>
        </w:tc>
        <w:tc>
          <w:tcPr>
            <w:tcW w:type="dxa" w:w="438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Systems with moderate impact or that interact with people (e.g. chatbots, content generation) requiring transparency.</w:t>
            </w:r>
          </w:p>
        </w:tc>
        <w:tc>
          <w:tcPr>
            <w:tcW w:type="dxa" w:w="398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Standard risk assessment; owner approval; transparency to affected users; baseline controls and logging.</w:t>
            </w:r>
          </w:p>
        </w:tc>
      </w:tr>
      <w:tr>
        <w:tc>
          <w:tcPr>
            <w:tcW w:type="dxa" w:w="15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2E7D54"/>
                <w:sz w:val="17"/>
                <w:szCs w:val="17"/>
              </w:rPr>
              <w:t xml:space="preserve">Minimal</w:t>
            </w:r>
          </w:p>
        </w:tc>
        <w:tc>
          <w:tcPr>
            <w:tcW w:type="dxa" w:w="438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Low-impact internal productivity uses with no consequential decisions and no sensitive data.</w:t>
            </w:r>
          </w:p>
        </w:tc>
        <w:tc>
          <w:tcPr>
            <w:tcW w:type="dxa" w:w="398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Registration; adherence to acceptable-use rules; lightweight self-assessment.</w:t>
            </w:r>
          </w:p>
        </w:tc>
      </w:tr>
    </w:tbl>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9860"/>
      </w:tblGrid>
      <w:tr>
        <w:tc>
          <w:tcPr>
            <w:tcW w:type="dxa" w:w="9860"/>
            <w:tcBorders>
              <w:top w:val="none" w:color="FFFFFF" w:sz="0"/>
              <w:left w:val="single" w:color="3A5F9E" w:sz="26"/>
              <w:bottom w:val="none" w:color="FFFFFF" w:sz="0"/>
              <w:right w:val="none" w:color="FFFFFF" w:sz="0"/>
            </w:tcBorders>
            <w:shd w:fill="EEF2FB" w:color="auto" w:val="clear"/>
            <w:tcMar>
              <w:top w:type="dxa" w:w="120"/>
              <w:left w:type="dxa" w:w="200"/>
              <w:bottom w:type="dxa" w:w="120"/>
              <w:right w:type="dxa" w:w="160"/>
            </w:tcMar>
          </w:tcPr>
          <w:p>
            <w:pPr>
              <w:spacing w:after="60"/>
            </w:pPr>
            <w:r>
              <w:rPr>
                <w:rFonts w:ascii="Calibri" w:cs="Calibri" w:eastAsia="Calibri" w:hAnsi="Calibri"/>
                <w:b/>
                <w:bCs/>
                <w:color w:val="3A5F9E"/>
                <w:spacing w:val="20"/>
                <w:sz w:val="15"/>
                <w:szCs w:val="15"/>
              </w:rPr>
              <w:t xml:space="preserve">REGULATORY NOTE</w:t>
            </w:r>
          </w:p>
          <w:p>
            <w:pPr>
              <w:spacing w:after="40"/>
              <w:jc w:val="both"/>
            </w:pPr>
            <w:r>
              <w:rPr>
                <w:rFonts w:ascii="Calibri" w:cs="Calibri" w:eastAsia="Calibri" w:hAnsi="Calibri"/>
                <w:color w:val="1F2733"/>
                <w:sz w:val="17"/>
                <w:szCs w:val="17"/>
              </w:rPr>
              <w:t xml:space="preserve">This tiering mirrors the risk-based approach of the EU AI Act (prohibited / high-risk / limited / minimal). Confirm the legal classification of each system against the Act’s criteria and your other obligations; the organisation’s internal tier and the statutory classification must both be recorded.</w:t>
            </w:r>
          </w:p>
        </w:tc>
      </w:tr>
    </w:tbl>
    <w:p>
      <w:pPr>
        <w:pStyle w:val="Heading2"/>
        <w:keepNext/>
        <w:spacing w:after="90" w:before="220"/>
      </w:pPr>
      <w:r>
        <w:rPr>
          <w:rFonts w:ascii="Calibri" w:cs="Calibri" w:eastAsia="Calibri" w:hAnsi="Calibri"/>
          <w:b/>
          <w:bCs/>
          <w:color w:val="D30D50"/>
          <w:sz w:val="22"/>
          <w:szCs w:val="22"/>
        </w:rPr>
        <w:t xml:space="preserve">6.2  </w:t>
      </w:r>
      <w:r>
        <w:rPr>
          <w:rFonts w:ascii="Calibri" w:cs="Calibri" w:eastAsia="Calibri" w:hAnsi="Calibri"/>
          <w:b/>
          <w:bCs/>
          <w:color w:val="243A5E"/>
          <w:sz w:val="22"/>
          <w:szCs w:val="22"/>
        </w:rPr>
        <w:t xml:space="preserve">AI risk assessment process</w:t>
      </w:r>
    </w:p>
    <w:p>
      <w:pPr>
        <w:spacing w:after="120"/>
        <w:jc w:val="both"/>
      </w:pPr>
      <w:r>
        <w:rPr>
          <w:rFonts w:ascii="Calibri" w:cs="Calibri" w:eastAsia="Calibri" w:hAnsi="Calibri"/>
          <w:color w:val="1F2733"/>
          <w:sz w:val="19"/>
          <w:szCs w:val="19"/>
        </w:rPr>
        <w:t xml:space="preserve">Risk assessments follow the organisation’s methodology (aligned with ISO/IEC 23894 and the NIST AI RMF functions of Govern, Map, Measure and Manage) and consider, at minimum:</w:t>
      </w:r>
    </w:p>
    <w:p>
      <w:pPr>
        <w:pStyle w:val="ListParagraph"/>
        <w:numPr>
          <w:ilvl w:val="0"/>
          <w:numId w:val="2"/>
        </w:numPr>
        <w:spacing w:after="50"/>
        <w:jc w:val="both"/>
      </w:pPr>
      <w:r>
        <w:rPr>
          <w:rFonts w:ascii="Calibri" w:cs="Calibri" w:eastAsia="Calibri" w:hAnsi="Calibri"/>
          <w:b/>
          <w:bCs/>
          <w:color w:val="152540"/>
          <w:sz w:val="19"/>
          <w:szCs w:val="19"/>
        </w:rPr>
        <w:t xml:space="preserve">Security risks</w:t>
      </w:r>
      <w:r>
        <w:rPr>
          <w:rFonts w:ascii="Calibri" w:cs="Calibri" w:eastAsia="Calibri" w:hAnsi="Calibri"/>
          <w:color w:val="1F2733"/>
          <w:sz w:val="19"/>
          <w:szCs w:val="19"/>
        </w:rPr>
        <w:t xml:space="preserve"> — data leakage, prompt injection, model poisoning, model theft/extraction, adversarial manipulation, insecure output handling and excessive agency.</w:t>
      </w:r>
    </w:p>
    <w:p>
      <w:pPr>
        <w:pStyle w:val="ListParagraph"/>
        <w:numPr>
          <w:ilvl w:val="0"/>
          <w:numId w:val="2"/>
        </w:numPr>
        <w:spacing w:after="50"/>
        <w:jc w:val="both"/>
      </w:pPr>
      <w:r>
        <w:rPr>
          <w:rFonts w:ascii="Calibri" w:cs="Calibri" w:eastAsia="Calibri" w:hAnsi="Calibri"/>
          <w:b/>
          <w:bCs/>
          <w:color w:val="152540"/>
          <w:sz w:val="19"/>
          <w:szCs w:val="19"/>
        </w:rPr>
        <w:t xml:space="preserve">Privacy risks</w:t>
      </w:r>
      <w:r>
        <w:rPr>
          <w:rFonts w:ascii="Calibri" w:cs="Calibri" w:eastAsia="Calibri" w:hAnsi="Calibri"/>
          <w:color w:val="1F2733"/>
          <w:sz w:val="19"/>
          <w:szCs w:val="19"/>
        </w:rPr>
        <w:t xml:space="preserve"> — processing of personal data, re-identification, inference of sensitive attributes and cross-border transfers.</w:t>
      </w:r>
    </w:p>
    <w:p>
      <w:pPr>
        <w:pStyle w:val="ListParagraph"/>
        <w:numPr>
          <w:ilvl w:val="0"/>
          <w:numId w:val="2"/>
        </w:numPr>
        <w:spacing w:after="50"/>
        <w:jc w:val="both"/>
      </w:pPr>
      <w:r>
        <w:rPr>
          <w:rFonts w:ascii="Calibri" w:cs="Calibri" w:eastAsia="Calibri" w:hAnsi="Calibri"/>
          <w:b/>
          <w:bCs/>
          <w:color w:val="152540"/>
          <w:sz w:val="19"/>
          <w:szCs w:val="19"/>
        </w:rPr>
        <w:t xml:space="preserve">Safety &amp; ethical risks</w:t>
      </w:r>
      <w:r>
        <w:rPr>
          <w:rFonts w:ascii="Calibri" w:cs="Calibri" w:eastAsia="Calibri" w:hAnsi="Calibri"/>
          <w:color w:val="1F2733"/>
          <w:sz w:val="19"/>
          <w:szCs w:val="19"/>
        </w:rPr>
        <w:t xml:space="preserve"> — bias, discrimination, harmful or unsafe outputs and impact on affected individuals.</w:t>
      </w:r>
    </w:p>
    <w:p>
      <w:pPr>
        <w:pStyle w:val="ListParagraph"/>
        <w:numPr>
          <w:ilvl w:val="0"/>
          <w:numId w:val="2"/>
        </w:numPr>
        <w:spacing w:after="50"/>
        <w:jc w:val="both"/>
      </w:pPr>
      <w:r>
        <w:rPr>
          <w:rFonts w:ascii="Calibri" w:cs="Calibri" w:eastAsia="Calibri" w:hAnsi="Calibri"/>
          <w:b/>
          <w:bCs/>
          <w:color w:val="152540"/>
          <w:sz w:val="19"/>
          <w:szCs w:val="19"/>
        </w:rPr>
        <w:t xml:space="preserve">Reliability risks</w:t>
      </w:r>
      <w:r>
        <w:rPr>
          <w:rFonts w:ascii="Calibri" w:cs="Calibri" w:eastAsia="Calibri" w:hAnsi="Calibri"/>
          <w:color w:val="1F2733"/>
          <w:sz w:val="19"/>
          <w:szCs w:val="19"/>
        </w:rPr>
        <w:t xml:space="preserve"> — accuracy, hallucination, model drift, availability and dependency on third parties.</w:t>
      </w:r>
    </w:p>
    <w:p>
      <w:pPr>
        <w:pStyle w:val="ListParagraph"/>
        <w:numPr>
          <w:ilvl w:val="0"/>
          <w:numId w:val="2"/>
        </w:numPr>
        <w:spacing w:after="50"/>
        <w:jc w:val="both"/>
      </w:pPr>
      <w:r>
        <w:rPr>
          <w:rFonts w:ascii="Calibri" w:cs="Calibri" w:eastAsia="Calibri" w:hAnsi="Calibri"/>
          <w:b/>
          <w:bCs/>
          <w:color w:val="152540"/>
          <w:sz w:val="19"/>
          <w:szCs w:val="19"/>
        </w:rPr>
        <w:t xml:space="preserve">Compliance &amp; reputational risks</w:t>
      </w:r>
      <w:r>
        <w:rPr>
          <w:rFonts w:ascii="Calibri" w:cs="Calibri" w:eastAsia="Calibri" w:hAnsi="Calibri"/>
          <w:color w:val="1F2733"/>
          <w:sz w:val="19"/>
          <w:szCs w:val="19"/>
        </w:rPr>
        <w:t xml:space="preserve"> — legal, contractual, intellectual-property and reputational exposure.</w:t>
      </w:r>
    </w:p>
    <w:p>
      <w:pPr>
        <w:spacing w:after="120"/>
        <w:jc w:val="both"/>
      </w:pPr>
      <w:r>
        <w:rPr>
          <w:rFonts w:ascii="Calibri" w:cs="Calibri" w:eastAsia="Calibri" w:hAnsi="Calibri"/>
          <w:color w:val="1F2733"/>
          <w:sz w:val="19"/>
          <w:szCs w:val="19"/>
        </w:rPr>
        <w:t xml:space="preserve">Identified risks are documented in the AI register, assigned an owner, treated (mitigate, transfer, avoid or accept), and re-assessed periodically and on significant change.</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7   </w:t>
      </w:r>
      <w:r>
        <w:rPr>
          <w:rFonts w:ascii="Calibri" w:cs="Calibri" w:eastAsia="Calibri" w:hAnsi="Calibri"/>
          <w:b/>
          <w:bCs/>
          <w:color w:val="152540"/>
          <w:sz w:val="28"/>
          <w:szCs w:val="28"/>
        </w:rPr>
        <w:t xml:space="preserve">AI System Lifecycle Management</w:t>
      </w:r>
    </w:p>
    <w:p>
      <w:pPr>
        <w:spacing w:after="120"/>
        <w:jc w:val="both"/>
      </w:pPr>
      <w:r>
        <w:rPr>
          <w:rFonts w:ascii="Calibri" w:cs="Calibri" w:eastAsia="Calibri" w:hAnsi="Calibri"/>
          <w:color w:val="1F2733"/>
          <w:sz w:val="19"/>
          <w:szCs w:val="19"/>
        </w:rPr>
        <w:t xml:space="preserve">Security and governance requirements apply across the full AI lifecycle. Each stage below has defined gates that must be satisfied before proceeding.</w:t>
      </w:r>
    </w:p>
    <w:p>
      <w:pPr>
        <w:pStyle w:val="Heading2"/>
        <w:keepNext/>
        <w:spacing w:after="90" w:before="220"/>
      </w:pPr>
      <w:r>
        <w:rPr>
          <w:rFonts w:ascii="Calibri" w:cs="Calibri" w:eastAsia="Calibri" w:hAnsi="Calibri"/>
          <w:b/>
          <w:bCs/>
          <w:color w:val="D30D50"/>
          <w:sz w:val="22"/>
          <w:szCs w:val="22"/>
        </w:rPr>
        <w:t xml:space="preserve">7.1  </w:t>
      </w:r>
      <w:r>
        <w:rPr>
          <w:rFonts w:ascii="Calibri" w:cs="Calibri" w:eastAsia="Calibri" w:hAnsi="Calibri"/>
          <w:b/>
          <w:bCs/>
          <w:color w:val="243A5E"/>
          <w:sz w:val="22"/>
          <w:szCs w:val="22"/>
        </w:rPr>
        <w:t xml:space="preserve">Inception and approval</w:t>
      </w:r>
    </w:p>
    <w:p>
      <w:pPr>
        <w:spacing w:after="120"/>
        <w:jc w:val="both"/>
      </w:pPr>
      <w:r>
        <w:rPr>
          <w:rFonts w:ascii="Calibri" w:cs="Calibri" w:eastAsia="Calibri" w:hAnsi="Calibri"/>
          <w:color w:val="1F2733"/>
          <w:sz w:val="19"/>
          <w:szCs w:val="19"/>
        </w:rPr>
        <w:t xml:space="preserve">Every new AI use case is submitted through the intake process (Appendix B), classified per Section 6.1, and registered before development or procurement begins. High-risk use cases require AI Governance Committee approval.</w:t>
      </w:r>
    </w:p>
    <w:p>
      <w:pPr>
        <w:pStyle w:val="Heading2"/>
        <w:keepNext/>
        <w:spacing w:after="90" w:before="220"/>
      </w:pPr>
      <w:r>
        <w:rPr>
          <w:rFonts w:ascii="Calibri" w:cs="Calibri" w:eastAsia="Calibri" w:hAnsi="Calibri"/>
          <w:b/>
          <w:bCs/>
          <w:color w:val="D30D50"/>
          <w:sz w:val="22"/>
          <w:szCs w:val="22"/>
        </w:rPr>
        <w:t xml:space="preserve">7.2  </w:t>
      </w:r>
      <w:r>
        <w:rPr>
          <w:rFonts w:ascii="Calibri" w:cs="Calibri" w:eastAsia="Calibri" w:hAnsi="Calibri"/>
          <w:b/>
          <w:bCs/>
          <w:color w:val="243A5E"/>
          <w:sz w:val="22"/>
          <w:szCs w:val="22"/>
        </w:rPr>
        <w:t xml:space="preserve">Design and development</w:t>
      </w:r>
    </w:p>
    <w:p>
      <w:pPr>
        <w:pStyle w:val="ListParagraph"/>
        <w:numPr>
          <w:ilvl w:val="0"/>
          <w:numId w:val="2"/>
        </w:numPr>
        <w:spacing w:after="50"/>
        <w:jc w:val="both"/>
      </w:pPr>
      <w:r>
        <w:rPr>
          <w:rFonts w:ascii="Calibri" w:cs="Calibri" w:eastAsia="Calibri" w:hAnsi="Calibri"/>
          <w:color w:val="1F2733"/>
          <w:sz w:val="19"/>
          <w:szCs w:val="19"/>
        </w:rPr>
        <w:t xml:space="preserve">Apply secure-development practices to code, pipelines, prompts and configurations.</w:t>
      </w:r>
    </w:p>
    <w:p>
      <w:pPr>
        <w:pStyle w:val="ListParagraph"/>
        <w:numPr>
          <w:ilvl w:val="0"/>
          <w:numId w:val="2"/>
        </w:numPr>
        <w:spacing w:after="50"/>
        <w:jc w:val="both"/>
      </w:pPr>
      <w:r>
        <w:rPr>
          <w:rFonts w:ascii="Calibri" w:cs="Calibri" w:eastAsia="Calibri" w:hAnsi="Calibri"/>
          <w:color w:val="1F2733"/>
          <w:sz w:val="19"/>
          <w:szCs w:val="19"/>
        </w:rPr>
        <w:t xml:space="preserve">Document data sources, model choices, assumptions, known limitations and intended use.</w:t>
      </w:r>
    </w:p>
    <w:p>
      <w:pPr>
        <w:pStyle w:val="ListParagraph"/>
        <w:numPr>
          <w:ilvl w:val="0"/>
          <w:numId w:val="2"/>
        </w:numPr>
        <w:spacing w:after="50"/>
        <w:jc w:val="both"/>
      </w:pPr>
      <w:r>
        <w:rPr>
          <w:rFonts w:ascii="Calibri" w:cs="Calibri" w:eastAsia="Calibri" w:hAnsi="Calibri"/>
          <w:color w:val="1F2733"/>
          <w:sz w:val="19"/>
          <w:szCs w:val="19"/>
        </w:rPr>
        <w:t xml:space="preserve">Test for accuracy, robustness, bias and security (including adversarial and prompt-injection testing) before release.</w:t>
      </w:r>
    </w:p>
    <w:p>
      <w:pPr>
        <w:pStyle w:val="ListParagraph"/>
        <w:numPr>
          <w:ilvl w:val="0"/>
          <w:numId w:val="2"/>
        </w:numPr>
        <w:spacing w:after="50"/>
        <w:jc w:val="both"/>
      </w:pPr>
      <w:r>
        <w:rPr>
          <w:rFonts w:ascii="Calibri" w:cs="Calibri" w:eastAsia="Calibri" w:hAnsi="Calibri"/>
          <w:color w:val="1F2733"/>
          <w:sz w:val="19"/>
          <w:szCs w:val="19"/>
        </w:rPr>
        <w:t xml:space="preserve">Version-control models, datasets and prompts; maintain reproducibility and provenance records.</w:t>
      </w:r>
    </w:p>
    <w:p>
      <w:pPr>
        <w:pStyle w:val="Heading2"/>
        <w:keepNext/>
        <w:spacing w:after="90" w:before="220"/>
      </w:pPr>
      <w:r>
        <w:rPr>
          <w:rFonts w:ascii="Calibri" w:cs="Calibri" w:eastAsia="Calibri" w:hAnsi="Calibri"/>
          <w:b/>
          <w:bCs/>
          <w:color w:val="D30D50"/>
          <w:sz w:val="22"/>
          <w:szCs w:val="22"/>
        </w:rPr>
        <w:t xml:space="preserve">7.3  </w:t>
      </w:r>
      <w:r>
        <w:rPr>
          <w:rFonts w:ascii="Calibri" w:cs="Calibri" w:eastAsia="Calibri" w:hAnsi="Calibri"/>
          <w:b/>
          <w:bCs/>
          <w:color w:val="243A5E"/>
          <w:sz w:val="22"/>
          <w:szCs w:val="22"/>
        </w:rPr>
        <w:t xml:space="preserve">Data preparation</w:t>
      </w:r>
    </w:p>
    <w:p>
      <w:pPr>
        <w:spacing w:after="120"/>
        <w:jc w:val="both"/>
      </w:pPr>
      <w:r>
        <w:rPr>
          <w:rFonts w:ascii="Calibri" w:cs="Calibri" w:eastAsia="Calibri" w:hAnsi="Calibri"/>
          <w:color w:val="1F2733"/>
          <w:sz w:val="19"/>
          <w:szCs w:val="19"/>
        </w:rPr>
        <w:t xml:space="preserve">Data used for training, fine-tuning, retrieval or evaluation must be lawfully obtained, of adequate quality, minimised, and handled per Section 9. The right to use each dataset (including licensing and personal-data lawful basis) must be confirmed and recorded.</w:t>
      </w:r>
    </w:p>
    <w:p>
      <w:pPr>
        <w:pStyle w:val="Heading2"/>
        <w:keepNext/>
        <w:spacing w:after="90" w:before="220"/>
      </w:pPr>
      <w:r>
        <w:rPr>
          <w:rFonts w:ascii="Calibri" w:cs="Calibri" w:eastAsia="Calibri" w:hAnsi="Calibri"/>
          <w:b/>
          <w:bCs/>
          <w:color w:val="D30D50"/>
          <w:sz w:val="22"/>
          <w:szCs w:val="22"/>
        </w:rPr>
        <w:t xml:space="preserve">7.4  </w:t>
      </w:r>
      <w:r>
        <w:rPr>
          <w:rFonts w:ascii="Calibri" w:cs="Calibri" w:eastAsia="Calibri" w:hAnsi="Calibri"/>
          <w:b/>
          <w:bCs/>
          <w:color w:val="243A5E"/>
          <w:sz w:val="22"/>
          <w:szCs w:val="22"/>
        </w:rPr>
        <w:t xml:space="preserve">Procurement of third-party AI</w:t>
      </w:r>
    </w:p>
    <w:p>
      <w:pPr>
        <w:spacing w:after="120"/>
        <w:jc w:val="both"/>
      </w:pPr>
      <w:r>
        <w:rPr>
          <w:rFonts w:ascii="Calibri" w:cs="Calibri" w:eastAsia="Calibri" w:hAnsi="Calibri"/>
          <w:color w:val="1F2733"/>
          <w:sz w:val="19"/>
          <w:szCs w:val="19"/>
        </w:rPr>
        <w:t xml:space="preserve">Externally sourced AI (models, APIs, embedded features) is subject to the supplier assessment in Section 12 before use, including review of the provider’s security, data handling, training-data practices and contractual terms.</w:t>
      </w:r>
    </w:p>
    <w:p>
      <w:pPr>
        <w:pStyle w:val="Heading2"/>
        <w:keepNext/>
        <w:spacing w:after="90" w:before="220"/>
      </w:pPr>
      <w:r>
        <w:rPr>
          <w:rFonts w:ascii="Calibri" w:cs="Calibri" w:eastAsia="Calibri" w:hAnsi="Calibri"/>
          <w:b/>
          <w:bCs/>
          <w:color w:val="D30D50"/>
          <w:sz w:val="22"/>
          <w:szCs w:val="22"/>
        </w:rPr>
        <w:t xml:space="preserve">7.5  </w:t>
      </w:r>
      <w:r>
        <w:rPr>
          <w:rFonts w:ascii="Calibri" w:cs="Calibri" w:eastAsia="Calibri" w:hAnsi="Calibri"/>
          <w:b/>
          <w:bCs/>
          <w:color w:val="243A5E"/>
          <w:sz w:val="22"/>
          <w:szCs w:val="22"/>
        </w:rPr>
        <w:t xml:space="preserve">Deployment</w:t>
      </w:r>
    </w:p>
    <w:p>
      <w:pPr>
        <w:pStyle w:val="ListParagraph"/>
        <w:numPr>
          <w:ilvl w:val="0"/>
          <w:numId w:val="2"/>
        </w:numPr>
        <w:spacing w:after="50"/>
        <w:jc w:val="both"/>
      </w:pPr>
      <w:r>
        <w:rPr>
          <w:rFonts w:ascii="Calibri" w:cs="Calibri" w:eastAsia="Calibri" w:hAnsi="Calibri"/>
          <w:color w:val="1F2733"/>
          <w:sz w:val="19"/>
          <w:szCs w:val="19"/>
        </w:rPr>
        <w:t xml:space="preserve">Deploy only after sign-off against the control checklist (Appendix C) appropriate to the system’s tier.</w:t>
      </w:r>
    </w:p>
    <w:p>
      <w:pPr>
        <w:pStyle w:val="ListParagraph"/>
        <w:numPr>
          <w:ilvl w:val="0"/>
          <w:numId w:val="2"/>
        </w:numPr>
        <w:spacing w:after="50"/>
        <w:jc w:val="both"/>
      </w:pPr>
      <w:r>
        <w:rPr>
          <w:rFonts w:ascii="Calibri" w:cs="Calibri" w:eastAsia="Calibri" w:hAnsi="Calibri"/>
          <w:color w:val="1F2733"/>
          <w:sz w:val="19"/>
          <w:szCs w:val="19"/>
        </w:rPr>
        <w:t xml:space="preserve">Apply least-privilege access, secrets management, network segmentation and secure configuration.</w:t>
      </w:r>
    </w:p>
    <w:p>
      <w:pPr>
        <w:pStyle w:val="ListParagraph"/>
        <w:numPr>
          <w:ilvl w:val="0"/>
          <w:numId w:val="2"/>
        </w:numPr>
        <w:spacing w:after="50"/>
        <w:jc w:val="both"/>
      </w:pPr>
      <w:r>
        <w:rPr>
          <w:rFonts w:ascii="Calibri" w:cs="Calibri" w:eastAsia="Calibri" w:hAnsi="Calibri"/>
          <w:color w:val="1F2733"/>
          <w:sz w:val="19"/>
          <w:szCs w:val="19"/>
        </w:rPr>
        <w:t xml:space="preserve">Enable logging of inputs, outputs and actions to the extent lawful and proportionate.</w:t>
      </w:r>
    </w:p>
    <w:p>
      <w:pPr>
        <w:pStyle w:val="Heading2"/>
        <w:keepNext/>
        <w:spacing w:after="90" w:before="220"/>
      </w:pPr>
      <w:r>
        <w:rPr>
          <w:rFonts w:ascii="Calibri" w:cs="Calibri" w:eastAsia="Calibri" w:hAnsi="Calibri"/>
          <w:b/>
          <w:bCs/>
          <w:color w:val="D30D50"/>
          <w:sz w:val="22"/>
          <w:szCs w:val="22"/>
        </w:rPr>
        <w:t xml:space="preserve">7.6  </w:t>
      </w:r>
      <w:r>
        <w:rPr>
          <w:rFonts w:ascii="Calibri" w:cs="Calibri" w:eastAsia="Calibri" w:hAnsi="Calibri"/>
          <w:b/>
          <w:bCs/>
          <w:color w:val="243A5E"/>
          <w:sz w:val="22"/>
          <w:szCs w:val="22"/>
        </w:rPr>
        <w:t xml:space="preserve">Operation and monitoring</w:t>
      </w:r>
    </w:p>
    <w:p>
      <w:pPr>
        <w:spacing w:after="120"/>
        <w:jc w:val="both"/>
      </w:pPr>
      <w:r>
        <w:rPr>
          <w:rFonts w:ascii="Calibri" w:cs="Calibri" w:eastAsia="Calibri" w:hAnsi="Calibri"/>
          <w:color w:val="1F2733"/>
          <w:sz w:val="19"/>
          <w:szCs w:val="19"/>
        </w:rPr>
        <w:t xml:space="preserve">In production, systems are monitored for performance, drift, anomalous behaviour, misuse and security events. Thresholds and alerts are defined by the system owner with Security. Periodic reviews confirm the system still performs within its approved parameters.</w:t>
      </w:r>
    </w:p>
    <w:p>
      <w:pPr>
        <w:pStyle w:val="Heading2"/>
        <w:keepNext/>
        <w:spacing w:after="90" w:before="220"/>
      </w:pPr>
      <w:r>
        <w:rPr>
          <w:rFonts w:ascii="Calibri" w:cs="Calibri" w:eastAsia="Calibri" w:hAnsi="Calibri"/>
          <w:b/>
          <w:bCs/>
          <w:color w:val="D30D50"/>
          <w:sz w:val="22"/>
          <w:szCs w:val="22"/>
        </w:rPr>
        <w:t xml:space="preserve">7.7  </w:t>
      </w:r>
      <w:r>
        <w:rPr>
          <w:rFonts w:ascii="Calibri" w:cs="Calibri" w:eastAsia="Calibri" w:hAnsi="Calibri"/>
          <w:b/>
          <w:bCs/>
          <w:color w:val="243A5E"/>
          <w:sz w:val="22"/>
          <w:szCs w:val="22"/>
        </w:rPr>
        <w:t xml:space="preserve">Change and decommissioning</w:t>
      </w:r>
    </w:p>
    <w:p>
      <w:pPr>
        <w:spacing w:after="120"/>
        <w:jc w:val="both"/>
      </w:pPr>
      <w:r>
        <w:rPr>
          <w:rFonts w:ascii="Calibri" w:cs="Calibri" w:eastAsia="Calibri" w:hAnsi="Calibri"/>
          <w:color w:val="1F2733"/>
          <w:sz w:val="19"/>
          <w:szCs w:val="19"/>
        </w:rPr>
        <w:t xml:space="preserve">Material changes (retraining, new data sources, new capabilities, scope expansion) trigger re-assessment. On retirement, models, data and credentials are securely disposed of or archived, access is revoked, dependencies are updated, and the register is closed out.</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8   </w:t>
      </w:r>
      <w:r>
        <w:rPr>
          <w:rFonts w:ascii="Calibri" w:cs="Calibri" w:eastAsia="Calibri" w:hAnsi="Calibri"/>
          <w:b/>
          <w:bCs/>
          <w:color w:val="152540"/>
          <w:sz w:val="28"/>
          <w:szCs w:val="28"/>
        </w:rPr>
        <w:t xml:space="preserve">AI-Specific Security Controls</w:t>
      </w:r>
    </w:p>
    <w:p>
      <w:pPr>
        <w:spacing w:after="120"/>
        <w:jc w:val="both"/>
      </w:pPr>
      <w:r>
        <w:rPr>
          <w:rFonts w:ascii="Calibri" w:cs="Calibri" w:eastAsia="Calibri" w:hAnsi="Calibri"/>
          <w:color w:val="1F2733"/>
          <w:sz w:val="19"/>
          <w:szCs w:val="19"/>
        </w:rPr>
        <w:t xml:space="preserve">Conventional security controls remain mandatory and are supplemented by the AI-specific controls below. Controls are applied in proportion to the system’s risk tier.</w:t>
      </w:r>
    </w:p>
    <w:p>
      <w:pPr>
        <w:pStyle w:val="Heading2"/>
        <w:keepNext/>
        <w:spacing w:after="90" w:before="220"/>
      </w:pPr>
      <w:r>
        <w:rPr>
          <w:rFonts w:ascii="Calibri" w:cs="Calibri" w:eastAsia="Calibri" w:hAnsi="Calibri"/>
          <w:b/>
          <w:bCs/>
          <w:color w:val="D30D50"/>
          <w:sz w:val="22"/>
          <w:szCs w:val="22"/>
        </w:rPr>
        <w:t xml:space="preserve">8.1  </w:t>
      </w:r>
      <w:r>
        <w:rPr>
          <w:rFonts w:ascii="Calibri" w:cs="Calibri" w:eastAsia="Calibri" w:hAnsi="Calibri"/>
          <w:b/>
          <w:bCs/>
          <w:color w:val="243A5E"/>
          <w:sz w:val="22"/>
          <w:szCs w:val="22"/>
        </w:rPr>
        <w:t xml:space="preserve">AI threat landscape</w:t>
      </w:r>
    </w:p>
    <w:p>
      <w:pPr>
        <w:spacing w:after="120"/>
        <w:jc w:val="both"/>
      </w:pPr>
      <w:r>
        <w:rPr>
          <w:rFonts w:ascii="Calibri" w:cs="Calibri" w:eastAsia="Calibri" w:hAnsi="Calibri"/>
          <w:color w:val="1F2733"/>
          <w:sz w:val="19"/>
          <w:szCs w:val="19"/>
        </w:rPr>
        <w:t xml:space="preserve">System owners and developers shall consider the AI-specific threat classes recognised by industry references such as the OWASP Top 10 for LLM Applications and MITRE ATLAS, including:</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3100"/>
        <w:gridCol w:w="6760"/>
      </w:tblGrid>
      <w:tr>
        <w:trPr>
          <w:tblHeader/>
        </w:trPr>
        <w:tc>
          <w:tcPr>
            <w:tcW w:type="dxa" w:w="31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Threat</w:t>
            </w:r>
          </w:p>
        </w:tc>
        <w:tc>
          <w:tcPr>
            <w:tcW w:type="dxa" w:w="676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Illustration and control focus</w:t>
            </w:r>
          </w:p>
        </w:tc>
      </w:tr>
      <w:tr>
        <w:tc>
          <w:tcPr>
            <w:tcW w:type="dxa" w:w="31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Prompt injection</w:t>
            </w:r>
          </w:p>
        </w:tc>
        <w:tc>
          <w:tcPr>
            <w:tcW w:type="dxa" w:w="67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Malicious input overrides instructions or exfiltrates data. Control: input/output filtering, instruction isolation, least privilege for tools, treat model output as untrusted.</w:t>
            </w:r>
          </w:p>
        </w:tc>
      </w:tr>
      <w:tr>
        <w:tc>
          <w:tcPr>
            <w:tcW w:type="dxa" w:w="31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Sensitive-data disclosure</w:t>
            </w:r>
          </w:p>
        </w:tc>
        <w:tc>
          <w:tcPr>
            <w:tcW w:type="dxa" w:w="67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Model reveals confidential or personal data in outputs. Control: data minimisation, output scanning, access controls, avoid sending sensitive data to un-vetted services.</w:t>
            </w:r>
          </w:p>
        </w:tc>
      </w:tr>
      <w:tr>
        <w:tc>
          <w:tcPr>
            <w:tcW w:type="dxa" w:w="31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Training-data poisoning</w:t>
            </w:r>
          </w:p>
        </w:tc>
        <w:tc>
          <w:tcPr>
            <w:tcW w:type="dxa" w:w="67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Tampered data corrupts model behaviour. Control: vet and validate data sources, integrity checks, provenance tracking.</w:t>
            </w:r>
          </w:p>
        </w:tc>
      </w:tr>
      <w:tr>
        <w:tc>
          <w:tcPr>
            <w:tcW w:type="dxa" w:w="31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Model theft / extraction</w:t>
            </w:r>
          </w:p>
        </w:tc>
        <w:tc>
          <w:tcPr>
            <w:tcW w:type="dxa" w:w="67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Adversary copies or reconstructs a proprietary model. Control: access limits, rate limiting, monitoring, watermarking where feasible.</w:t>
            </w:r>
          </w:p>
        </w:tc>
      </w:tr>
      <w:tr>
        <w:tc>
          <w:tcPr>
            <w:tcW w:type="dxa" w:w="31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Insecure output handling</w:t>
            </w:r>
          </w:p>
        </w:tc>
        <w:tc>
          <w:tcPr>
            <w:tcW w:type="dxa" w:w="67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Unvalidated model output triggers downstream code execution or injection. Control: validate, sanitise and encode outputs before use.</w:t>
            </w:r>
          </w:p>
        </w:tc>
      </w:tr>
      <w:tr>
        <w:tc>
          <w:tcPr>
            <w:tcW w:type="dxa" w:w="31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Excessive agency</w:t>
            </w:r>
          </w:p>
        </w:tc>
        <w:tc>
          <w:tcPr>
            <w:tcW w:type="dxa" w:w="67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Autonomous system takes unauthorised or unsafe actions. Control: constrain permissions, require confirmation for consequential actions, sandboxing.</w:t>
            </w:r>
          </w:p>
        </w:tc>
      </w:tr>
      <w:tr>
        <w:tc>
          <w:tcPr>
            <w:tcW w:type="dxa" w:w="31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Supply-chain compromise</w:t>
            </w:r>
          </w:p>
        </w:tc>
        <w:tc>
          <w:tcPr>
            <w:tcW w:type="dxa" w:w="67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Vulnerable model, dataset or dependency. Control: source from trusted providers, verify integrity, maintain an AI bill of materials.</w:t>
            </w:r>
          </w:p>
        </w:tc>
      </w:tr>
      <w:tr>
        <w:tc>
          <w:tcPr>
            <w:tcW w:type="dxa" w:w="31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Denial of service / cost abuse</w:t>
            </w:r>
          </w:p>
        </w:tc>
        <w:tc>
          <w:tcPr>
            <w:tcW w:type="dxa" w:w="67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Resource exhaustion or runaway spend. Control: quotas, rate limits, budget alerts, monitoring.</w:t>
            </w:r>
          </w:p>
        </w:tc>
      </w:tr>
    </w:tbl>
    <w:p>
      <w:pPr>
        <w:pStyle w:val="Heading2"/>
        <w:keepNext/>
        <w:spacing w:after="90" w:before="220"/>
      </w:pPr>
      <w:r>
        <w:rPr>
          <w:rFonts w:ascii="Calibri" w:cs="Calibri" w:eastAsia="Calibri" w:hAnsi="Calibri"/>
          <w:b/>
          <w:bCs/>
          <w:color w:val="D30D50"/>
          <w:sz w:val="22"/>
          <w:szCs w:val="22"/>
        </w:rPr>
        <w:t xml:space="preserve">8.2  </w:t>
      </w:r>
      <w:r>
        <w:rPr>
          <w:rFonts w:ascii="Calibri" w:cs="Calibri" w:eastAsia="Calibri" w:hAnsi="Calibri"/>
          <w:b/>
          <w:bCs/>
          <w:color w:val="243A5E"/>
          <w:sz w:val="22"/>
          <w:szCs w:val="22"/>
        </w:rPr>
        <w:t xml:space="preserve">Model, pipeline and infrastructure security</w:t>
      </w:r>
    </w:p>
    <w:p>
      <w:pPr>
        <w:pStyle w:val="ListParagraph"/>
        <w:numPr>
          <w:ilvl w:val="0"/>
          <w:numId w:val="2"/>
        </w:numPr>
        <w:spacing w:after="50"/>
        <w:jc w:val="both"/>
      </w:pPr>
      <w:r>
        <w:rPr>
          <w:rFonts w:ascii="Calibri" w:cs="Calibri" w:eastAsia="Calibri" w:hAnsi="Calibri"/>
          <w:color w:val="1F2733"/>
          <w:sz w:val="19"/>
          <w:szCs w:val="19"/>
        </w:rPr>
        <w:t xml:space="preserve">Protect models, datasets, prompts and secrets with encryption at rest and in transit.</w:t>
      </w:r>
    </w:p>
    <w:p>
      <w:pPr>
        <w:pStyle w:val="ListParagraph"/>
        <w:numPr>
          <w:ilvl w:val="0"/>
          <w:numId w:val="2"/>
        </w:numPr>
        <w:spacing w:after="50"/>
        <w:jc w:val="both"/>
      </w:pPr>
      <w:r>
        <w:rPr>
          <w:rFonts w:ascii="Calibri" w:cs="Calibri" w:eastAsia="Calibri" w:hAnsi="Calibri"/>
          <w:color w:val="1F2733"/>
          <w:sz w:val="19"/>
          <w:szCs w:val="19"/>
        </w:rPr>
        <w:t xml:space="preserve">Harden and patch the AI infrastructure and dependencies; maintain an inventory of AI components (AI-BOM).</w:t>
      </w:r>
    </w:p>
    <w:p>
      <w:pPr>
        <w:pStyle w:val="ListParagraph"/>
        <w:numPr>
          <w:ilvl w:val="0"/>
          <w:numId w:val="2"/>
        </w:numPr>
        <w:spacing w:after="50"/>
        <w:jc w:val="both"/>
      </w:pPr>
      <w:r>
        <w:rPr>
          <w:rFonts w:ascii="Calibri" w:cs="Calibri" w:eastAsia="Calibri" w:hAnsi="Calibri"/>
          <w:color w:val="1F2733"/>
          <w:sz w:val="19"/>
          <w:szCs w:val="19"/>
        </w:rPr>
        <w:t xml:space="preserve">Isolate AI workloads and constrain the tools, data and systems that agentic AI can access.</w:t>
      </w:r>
    </w:p>
    <w:p>
      <w:pPr>
        <w:pStyle w:val="Heading2"/>
        <w:keepNext/>
        <w:spacing w:after="90" w:before="220"/>
      </w:pPr>
      <w:r>
        <w:rPr>
          <w:rFonts w:ascii="Calibri" w:cs="Calibri" w:eastAsia="Calibri" w:hAnsi="Calibri"/>
          <w:b/>
          <w:bCs/>
          <w:color w:val="D30D50"/>
          <w:sz w:val="22"/>
          <w:szCs w:val="22"/>
        </w:rPr>
        <w:t xml:space="preserve">8.3  </w:t>
      </w:r>
      <w:r>
        <w:rPr>
          <w:rFonts w:ascii="Calibri" w:cs="Calibri" w:eastAsia="Calibri" w:hAnsi="Calibri"/>
          <w:b/>
          <w:bCs/>
          <w:color w:val="243A5E"/>
          <w:sz w:val="22"/>
          <w:szCs w:val="22"/>
        </w:rPr>
        <w:t xml:space="preserve">Access and identity</w:t>
      </w:r>
    </w:p>
    <w:p>
      <w:pPr>
        <w:pStyle w:val="ListParagraph"/>
        <w:numPr>
          <w:ilvl w:val="0"/>
          <w:numId w:val="2"/>
        </w:numPr>
        <w:spacing w:after="50"/>
        <w:jc w:val="both"/>
      </w:pPr>
      <w:r>
        <w:rPr>
          <w:rFonts w:ascii="Calibri" w:cs="Calibri" w:eastAsia="Calibri" w:hAnsi="Calibri"/>
          <w:color w:val="1F2733"/>
          <w:sz w:val="19"/>
          <w:szCs w:val="19"/>
        </w:rPr>
        <w:t xml:space="preserve">Apply role-based, least-privilege access to models, data, prompts, keys and administrative functions.</w:t>
      </w:r>
    </w:p>
    <w:p>
      <w:pPr>
        <w:pStyle w:val="ListParagraph"/>
        <w:numPr>
          <w:ilvl w:val="0"/>
          <w:numId w:val="2"/>
        </w:numPr>
        <w:spacing w:after="50"/>
        <w:jc w:val="both"/>
      </w:pPr>
      <w:r>
        <w:rPr>
          <w:rFonts w:ascii="Calibri" w:cs="Calibri" w:eastAsia="Calibri" w:hAnsi="Calibri"/>
          <w:color w:val="1F2733"/>
          <w:sz w:val="19"/>
          <w:szCs w:val="19"/>
        </w:rPr>
        <w:t xml:space="preserve">Use strong authentication (including MFA) and rotate and vault API keys and credentials.</w:t>
      </w:r>
    </w:p>
    <w:p>
      <w:pPr>
        <w:pStyle w:val="ListParagraph"/>
        <w:numPr>
          <w:ilvl w:val="0"/>
          <w:numId w:val="2"/>
        </w:numPr>
        <w:spacing w:after="50"/>
        <w:jc w:val="both"/>
      </w:pPr>
      <w:r>
        <w:rPr>
          <w:rFonts w:ascii="Calibri" w:cs="Calibri" w:eastAsia="Calibri" w:hAnsi="Calibri"/>
          <w:color w:val="1F2733"/>
          <w:sz w:val="19"/>
          <w:szCs w:val="19"/>
        </w:rPr>
        <w:t xml:space="preserve">Log and review access to sensitive AI assets.</w:t>
      </w:r>
    </w:p>
    <w:p>
      <w:pPr>
        <w:pStyle w:val="Heading2"/>
        <w:keepNext/>
        <w:spacing w:after="90" w:before="220"/>
      </w:pPr>
      <w:r>
        <w:rPr>
          <w:rFonts w:ascii="Calibri" w:cs="Calibri" w:eastAsia="Calibri" w:hAnsi="Calibri"/>
          <w:b/>
          <w:bCs/>
          <w:color w:val="D30D50"/>
          <w:sz w:val="22"/>
          <w:szCs w:val="22"/>
        </w:rPr>
        <w:t xml:space="preserve">8.4  </w:t>
      </w:r>
      <w:r>
        <w:rPr>
          <w:rFonts w:ascii="Calibri" w:cs="Calibri" w:eastAsia="Calibri" w:hAnsi="Calibri"/>
          <w:b/>
          <w:bCs/>
          <w:color w:val="243A5E"/>
          <w:sz w:val="22"/>
          <w:szCs w:val="22"/>
        </w:rPr>
        <w:t xml:space="preserve">Logging, detection and response</w:t>
      </w:r>
    </w:p>
    <w:p>
      <w:pPr>
        <w:spacing w:after="120"/>
        <w:jc w:val="both"/>
      </w:pPr>
      <w:r>
        <w:rPr>
          <w:rFonts w:ascii="Calibri" w:cs="Calibri" w:eastAsia="Calibri" w:hAnsi="Calibri"/>
          <w:color w:val="1F2733"/>
          <w:sz w:val="19"/>
          <w:szCs w:val="19"/>
        </w:rPr>
        <w:t xml:space="preserve">To the extent lawful and proportionate, log AI inputs, outputs, actions and administrative events; integrate AI telemetry into security monitoring; and define detection use cases for misuse, data exfiltration and anomalous behaviour, feeding into the incident process (Section 13).</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9   </w:t>
      </w:r>
      <w:r>
        <w:rPr>
          <w:rFonts w:ascii="Calibri" w:cs="Calibri" w:eastAsia="Calibri" w:hAnsi="Calibri"/>
          <w:b/>
          <w:bCs/>
          <w:color w:val="152540"/>
          <w:sz w:val="28"/>
          <w:szCs w:val="28"/>
        </w:rPr>
        <w:t xml:space="preserve">Data Governance and Privacy</w:t>
      </w:r>
    </w:p>
    <w:p>
      <w:pPr>
        <w:spacing w:after="120"/>
        <w:jc w:val="both"/>
      </w:pPr>
      <w:r>
        <w:rPr>
          <w:rFonts w:ascii="Calibri" w:cs="Calibri" w:eastAsia="Calibri" w:hAnsi="Calibri"/>
          <w:color w:val="1F2733"/>
          <w:sz w:val="19"/>
          <w:szCs w:val="19"/>
        </w:rPr>
        <w:t xml:space="preserve">Data is the foundation of AI risk. The following requirements govern the use of data in and by AI systems, in addition to the organisation’s Data Protection Policy.</w:t>
      </w:r>
    </w:p>
    <w:p>
      <w:pPr>
        <w:pStyle w:val="ListParagraph"/>
        <w:numPr>
          <w:ilvl w:val="0"/>
          <w:numId w:val="2"/>
        </w:numPr>
        <w:spacing w:after="50"/>
        <w:jc w:val="both"/>
      </w:pPr>
      <w:r>
        <w:rPr>
          <w:rFonts w:ascii="Calibri" w:cs="Calibri" w:eastAsia="Calibri" w:hAnsi="Calibri"/>
          <w:b/>
          <w:bCs/>
          <w:color w:val="152540"/>
          <w:sz w:val="19"/>
          <w:szCs w:val="19"/>
        </w:rPr>
        <w:t xml:space="preserve">Lawful basis &amp; purpose.</w:t>
      </w:r>
      <w:r>
        <w:rPr>
          <w:rFonts w:ascii="Calibri" w:cs="Calibri" w:eastAsia="Calibri" w:hAnsi="Calibri"/>
          <w:color w:val="1F2733"/>
          <w:sz w:val="19"/>
          <w:szCs w:val="19"/>
        </w:rPr>
        <w:t xml:space="preserve"> Personal data is processed only with a valid legal basis and for specified, legitimate purposes compatible with the reason it was collected.</w:t>
      </w:r>
    </w:p>
    <w:p>
      <w:pPr>
        <w:pStyle w:val="ListParagraph"/>
        <w:numPr>
          <w:ilvl w:val="0"/>
          <w:numId w:val="2"/>
        </w:numPr>
        <w:spacing w:after="50"/>
        <w:jc w:val="both"/>
      </w:pPr>
      <w:r>
        <w:rPr>
          <w:rFonts w:ascii="Calibri" w:cs="Calibri" w:eastAsia="Calibri" w:hAnsi="Calibri"/>
          <w:b/>
          <w:bCs/>
          <w:color w:val="152540"/>
          <w:sz w:val="19"/>
          <w:szCs w:val="19"/>
        </w:rPr>
        <w:t xml:space="preserve">Data minimisation.</w:t>
      </w:r>
      <w:r>
        <w:rPr>
          <w:rFonts w:ascii="Calibri" w:cs="Calibri" w:eastAsia="Calibri" w:hAnsi="Calibri"/>
          <w:color w:val="1F2733"/>
          <w:sz w:val="19"/>
          <w:szCs w:val="19"/>
        </w:rPr>
        <w:t xml:space="preserve"> Only the minimum data necessary is used for training, fine-tuning, retrieval or inference.</w:t>
      </w:r>
    </w:p>
    <w:p>
      <w:pPr>
        <w:pStyle w:val="ListParagraph"/>
        <w:numPr>
          <w:ilvl w:val="0"/>
          <w:numId w:val="2"/>
        </w:numPr>
        <w:spacing w:after="50"/>
        <w:jc w:val="both"/>
      </w:pPr>
      <w:r>
        <w:rPr>
          <w:rFonts w:ascii="Calibri" w:cs="Calibri" w:eastAsia="Calibri" w:hAnsi="Calibri"/>
          <w:b/>
          <w:bCs/>
          <w:color w:val="152540"/>
          <w:sz w:val="19"/>
          <w:szCs w:val="19"/>
        </w:rPr>
        <w:t xml:space="preserve">DPIA.</w:t>
      </w:r>
      <w:r>
        <w:rPr>
          <w:rFonts w:ascii="Calibri" w:cs="Calibri" w:eastAsia="Calibri" w:hAnsi="Calibri"/>
          <w:color w:val="1F2733"/>
          <w:sz w:val="19"/>
          <w:szCs w:val="19"/>
        </w:rPr>
        <w:t xml:space="preserve"> A Data Protection Impact Assessment is completed for AI processing likely to result in high risk to individuals, in consultation with the DPO.</w:t>
      </w:r>
    </w:p>
    <w:p>
      <w:pPr>
        <w:pStyle w:val="ListParagraph"/>
        <w:numPr>
          <w:ilvl w:val="0"/>
          <w:numId w:val="2"/>
        </w:numPr>
        <w:spacing w:after="50"/>
        <w:jc w:val="both"/>
      </w:pPr>
      <w:r>
        <w:rPr>
          <w:rFonts w:ascii="Calibri" w:cs="Calibri" w:eastAsia="Calibri" w:hAnsi="Calibri"/>
          <w:b/>
          <w:bCs/>
          <w:color w:val="152540"/>
          <w:sz w:val="19"/>
          <w:szCs w:val="19"/>
        </w:rPr>
        <w:t xml:space="preserve">Sensitive data.</w:t>
      </w:r>
      <w:r>
        <w:rPr>
          <w:rFonts w:ascii="Calibri" w:cs="Calibri" w:eastAsia="Calibri" w:hAnsi="Calibri"/>
          <w:color w:val="1F2733"/>
          <w:sz w:val="19"/>
          <w:szCs w:val="19"/>
        </w:rPr>
        <w:t xml:space="preserve"> Confidential, special-category or regulated data must not be entered into public or un-vetted AI services. Only approved services with appropriate safeguards may process such data.</w:t>
      </w:r>
    </w:p>
    <w:p>
      <w:pPr>
        <w:pStyle w:val="ListParagraph"/>
        <w:numPr>
          <w:ilvl w:val="0"/>
          <w:numId w:val="2"/>
        </w:numPr>
        <w:spacing w:after="50"/>
        <w:jc w:val="both"/>
      </w:pPr>
      <w:r>
        <w:rPr>
          <w:rFonts w:ascii="Calibri" w:cs="Calibri" w:eastAsia="Calibri" w:hAnsi="Calibri"/>
          <w:b/>
          <w:bCs/>
          <w:color w:val="152540"/>
          <w:sz w:val="19"/>
          <w:szCs w:val="19"/>
        </w:rPr>
        <w:t xml:space="preserve">No unauthorised training.</w:t>
      </w:r>
      <w:r>
        <w:rPr>
          <w:rFonts w:ascii="Calibri" w:cs="Calibri" w:eastAsia="Calibri" w:hAnsi="Calibri"/>
          <w:color w:val="1F2733"/>
          <w:sz w:val="19"/>
          <w:szCs w:val="19"/>
        </w:rPr>
        <w:t xml:space="preserve"> Organisational or personal data must not be used to train external providers’ models unless expressly permitted and contractually controlled.</w:t>
      </w:r>
    </w:p>
    <w:p>
      <w:pPr>
        <w:pStyle w:val="ListParagraph"/>
        <w:numPr>
          <w:ilvl w:val="0"/>
          <w:numId w:val="2"/>
        </w:numPr>
        <w:spacing w:after="50"/>
        <w:jc w:val="both"/>
      </w:pPr>
      <w:r>
        <w:rPr>
          <w:rFonts w:ascii="Calibri" w:cs="Calibri" w:eastAsia="Calibri" w:hAnsi="Calibri"/>
          <w:b/>
          <w:bCs/>
          <w:color w:val="152540"/>
          <w:sz w:val="19"/>
          <w:szCs w:val="19"/>
        </w:rPr>
        <w:t xml:space="preserve">Data subject rights.</w:t>
      </w:r>
      <w:r>
        <w:rPr>
          <w:rFonts w:ascii="Calibri" w:cs="Calibri" w:eastAsia="Calibri" w:hAnsi="Calibri"/>
          <w:color w:val="1F2733"/>
          <w:sz w:val="19"/>
          <w:szCs w:val="19"/>
        </w:rPr>
        <w:t xml:space="preserve"> Mechanisms exist to honour access, correction, objection and erasure requests where AI processes personal data.</w:t>
      </w:r>
    </w:p>
    <w:p>
      <w:pPr>
        <w:pStyle w:val="ListParagraph"/>
        <w:numPr>
          <w:ilvl w:val="0"/>
          <w:numId w:val="2"/>
        </w:numPr>
        <w:spacing w:after="50"/>
        <w:jc w:val="both"/>
      </w:pPr>
      <w:r>
        <w:rPr>
          <w:rFonts w:ascii="Calibri" w:cs="Calibri" w:eastAsia="Calibri" w:hAnsi="Calibri"/>
          <w:b/>
          <w:bCs/>
          <w:color w:val="152540"/>
          <w:sz w:val="19"/>
          <w:szCs w:val="19"/>
        </w:rPr>
        <w:t xml:space="preserve">Retention &amp; residency.</w:t>
      </w:r>
      <w:r>
        <w:rPr>
          <w:rFonts w:ascii="Calibri" w:cs="Calibri" w:eastAsia="Calibri" w:hAnsi="Calibri"/>
          <w:color w:val="1F2733"/>
          <w:sz w:val="19"/>
          <w:szCs w:val="19"/>
        </w:rPr>
        <w:t xml:space="preserve"> Prompts, outputs and logs are retained only as long as necessary and stored consistent with data-residency requirements.</w:t>
      </w:r>
    </w:p>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9860"/>
      </w:tblGrid>
      <w:tr>
        <w:tc>
          <w:tcPr>
            <w:tcW w:type="dxa" w:w="9860"/>
            <w:tcBorders>
              <w:top w:val="none" w:color="FFFFFF" w:sz="0"/>
              <w:left w:val="single" w:color="D30D50" w:sz="26"/>
              <w:bottom w:val="none" w:color="FFFFFF" w:sz="0"/>
              <w:right w:val="none" w:color="FFFFFF" w:sz="0"/>
            </w:tcBorders>
            <w:shd w:fill="FBE7EE" w:color="auto" w:val="clear"/>
            <w:tcMar>
              <w:top w:type="dxa" w:w="120"/>
              <w:left w:type="dxa" w:w="200"/>
              <w:bottom w:type="dxa" w:w="120"/>
              <w:right w:type="dxa" w:w="160"/>
            </w:tcMar>
          </w:tcPr>
          <w:p>
            <w:pPr>
              <w:spacing w:after="60"/>
            </w:pPr>
            <w:r>
              <w:rPr>
                <w:rFonts w:ascii="Calibri" w:cs="Calibri" w:eastAsia="Calibri" w:hAnsi="Calibri"/>
                <w:b/>
                <w:bCs/>
                <w:color w:val="D30D50"/>
                <w:spacing w:val="20"/>
                <w:sz w:val="15"/>
                <w:szCs w:val="15"/>
              </w:rPr>
              <w:t xml:space="preserve">TEMPLATE GUIDANCE</w:t>
            </w:r>
          </w:p>
          <w:p>
            <w:pPr>
              <w:spacing w:after="40"/>
              <w:jc w:val="both"/>
            </w:pPr>
            <w:r>
              <w:rPr>
                <w:rFonts w:ascii="Calibri" w:cs="Calibri" w:eastAsia="Calibri" w:hAnsi="Calibri"/>
                <w:color w:val="1F2733"/>
                <w:sz w:val="17"/>
                <w:szCs w:val="17"/>
              </w:rPr>
              <w:t xml:space="preserve">List the AI services approved for each data classification (e.g. public / internal / confidential / restricted) in an appendix or linked register, and keep it current. Staff need an unambiguous answer to “which tool may I use with this data?”</w:t>
            </w:r>
          </w:p>
        </w:tc>
      </w:tr>
    </w:tbl>
    <w:p>
      <w:pPr>
        <w:pStyle w:val="Heading1"/>
        <w:keepNext/>
        <w:pBdr>
          <w:bottom w:val="single" w:color="D30D50" w:sz="14" w:space="6"/>
        </w:pBdr>
        <w:spacing w:after="140" w:before="320"/>
      </w:pPr>
      <w:r>
        <w:rPr>
          <w:rFonts w:ascii="Calibri" w:cs="Calibri" w:eastAsia="Calibri" w:hAnsi="Calibri"/>
          <w:b/>
          <w:bCs/>
          <w:color w:val="D30D50"/>
          <w:sz w:val="28"/>
          <w:szCs w:val="28"/>
        </w:rPr>
        <w:t xml:space="preserve">10   </w:t>
      </w:r>
      <w:r>
        <w:rPr>
          <w:rFonts w:ascii="Calibri" w:cs="Calibri" w:eastAsia="Calibri" w:hAnsi="Calibri"/>
          <w:b/>
          <w:bCs/>
          <w:color w:val="152540"/>
          <w:sz w:val="28"/>
          <w:szCs w:val="28"/>
        </w:rPr>
        <w:t xml:space="preserve">Acceptable Use</w:t>
      </w:r>
    </w:p>
    <w:p>
      <w:pPr>
        <w:spacing w:after="120"/>
        <w:jc w:val="both"/>
      </w:pPr>
      <w:r>
        <w:rPr>
          <w:rFonts w:ascii="Calibri" w:cs="Calibri" w:eastAsia="Calibri" w:hAnsi="Calibri"/>
          <w:color w:val="1F2733"/>
          <w:sz w:val="19"/>
          <w:szCs w:val="19"/>
        </w:rPr>
        <w:t xml:space="preserve">This section sets the rules that all users must follow when using AI tools, including generative AI assistants.</w:t>
      </w:r>
    </w:p>
    <w:p>
      <w:pPr>
        <w:pStyle w:val="Heading2"/>
        <w:keepNext/>
        <w:spacing w:after="90" w:before="220"/>
      </w:pPr>
      <w:r>
        <w:rPr>
          <w:rFonts w:ascii="Calibri" w:cs="Calibri" w:eastAsia="Calibri" w:hAnsi="Calibri"/>
          <w:b/>
          <w:bCs/>
          <w:color w:val="D30D50"/>
          <w:sz w:val="22"/>
          <w:szCs w:val="22"/>
        </w:rPr>
        <w:t xml:space="preserve">10.1  </w:t>
      </w:r>
      <w:r>
        <w:rPr>
          <w:rFonts w:ascii="Calibri" w:cs="Calibri" w:eastAsia="Calibri" w:hAnsi="Calibri"/>
          <w:b/>
          <w:bCs/>
          <w:color w:val="243A5E"/>
          <w:sz w:val="22"/>
          <w:szCs w:val="22"/>
        </w:rPr>
        <w:t xml:space="preserve">Permitted use</w:t>
      </w:r>
    </w:p>
    <w:p>
      <w:pPr>
        <w:pStyle w:val="ListParagraph"/>
        <w:numPr>
          <w:ilvl w:val="0"/>
          <w:numId w:val="2"/>
        </w:numPr>
        <w:spacing w:after="50"/>
        <w:jc w:val="both"/>
      </w:pPr>
      <w:r>
        <w:rPr>
          <w:rFonts w:ascii="Calibri" w:cs="Calibri" w:eastAsia="Calibri" w:hAnsi="Calibri"/>
          <w:color w:val="1F2733"/>
          <w:sz w:val="19"/>
          <w:szCs w:val="19"/>
        </w:rPr>
        <w:t xml:space="preserve">Use only AI tools that are approved or expressly permitted by the organisation.</w:t>
      </w:r>
    </w:p>
    <w:p>
      <w:pPr>
        <w:pStyle w:val="ListParagraph"/>
        <w:numPr>
          <w:ilvl w:val="0"/>
          <w:numId w:val="2"/>
        </w:numPr>
        <w:spacing w:after="50"/>
        <w:jc w:val="both"/>
      </w:pPr>
      <w:r>
        <w:rPr>
          <w:rFonts w:ascii="Calibri" w:cs="Calibri" w:eastAsia="Calibri" w:hAnsi="Calibri"/>
          <w:color w:val="1F2733"/>
          <w:sz w:val="19"/>
          <w:szCs w:val="19"/>
        </w:rPr>
        <w:t xml:space="preserve">Treat AI output as a draft: verify accuracy, relevance and appropriateness before relying on or publishing it.</w:t>
      </w:r>
    </w:p>
    <w:p>
      <w:pPr>
        <w:pStyle w:val="ListParagraph"/>
        <w:numPr>
          <w:ilvl w:val="0"/>
          <w:numId w:val="2"/>
        </w:numPr>
        <w:spacing w:after="50"/>
        <w:jc w:val="both"/>
      </w:pPr>
      <w:r>
        <w:rPr>
          <w:rFonts w:ascii="Calibri" w:cs="Calibri" w:eastAsia="Calibri" w:hAnsi="Calibri"/>
          <w:color w:val="1F2733"/>
          <w:sz w:val="19"/>
          <w:szCs w:val="19"/>
        </w:rPr>
        <w:t xml:space="preserve">Keep human accountability for any decision, communication or deliverable that involves AI assistance.</w:t>
      </w:r>
    </w:p>
    <w:p>
      <w:pPr>
        <w:pStyle w:val="ListParagraph"/>
        <w:numPr>
          <w:ilvl w:val="0"/>
          <w:numId w:val="2"/>
        </w:numPr>
        <w:spacing w:after="50"/>
        <w:jc w:val="both"/>
      </w:pPr>
      <w:r>
        <w:rPr>
          <w:rFonts w:ascii="Calibri" w:cs="Calibri" w:eastAsia="Calibri" w:hAnsi="Calibri"/>
          <w:color w:val="1F2733"/>
          <w:sz w:val="19"/>
          <w:szCs w:val="19"/>
        </w:rPr>
        <w:t xml:space="preserve">Comply with all data-classification and data-handling rules when providing inputs.</w:t>
      </w:r>
    </w:p>
    <w:p>
      <w:pPr>
        <w:pStyle w:val="Heading2"/>
        <w:keepNext/>
        <w:spacing w:after="90" w:before="220"/>
      </w:pPr>
      <w:r>
        <w:rPr>
          <w:rFonts w:ascii="Calibri" w:cs="Calibri" w:eastAsia="Calibri" w:hAnsi="Calibri"/>
          <w:b/>
          <w:bCs/>
          <w:color w:val="D30D50"/>
          <w:sz w:val="22"/>
          <w:szCs w:val="22"/>
        </w:rPr>
        <w:t xml:space="preserve">10.2  </w:t>
      </w:r>
      <w:r>
        <w:rPr>
          <w:rFonts w:ascii="Calibri" w:cs="Calibri" w:eastAsia="Calibri" w:hAnsi="Calibri"/>
          <w:b/>
          <w:bCs/>
          <w:color w:val="243A5E"/>
          <w:sz w:val="22"/>
          <w:szCs w:val="22"/>
        </w:rPr>
        <w:t xml:space="preserve">Prohibited use</w:t>
      </w:r>
    </w:p>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9860"/>
      </w:tblGrid>
      <w:tr>
        <w:tc>
          <w:tcPr>
            <w:tcW w:type="dxa" w:w="9860"/>
            <w:tcBorders>
              <w:top w:val="none" w:color="FFFFFF" w:sz="0"/>
              <w:left w:val="single" w:color="A53F3F" w:sz="26"/>
              <w:bottom w:val="none" w:color="FFFFFF" w:sz="0"/>
              <w:right w:val="none" w:color="FFFFFF" w:sz="0"/>
            </w:tcBorders>
            <w:shd w:fill="FBEEEE" w:color="auto" w:val="clear"/>
            <w:tcMar>
              <w:top w:type="dxa" w:w="120"/>
              <w:left w:type="dxa" w:w="200"/>
              <w:bottom w:type="dxa" w:w="120"/>
              <w:right w:type="dxa" w:w="160"/>
            </w:tcMar>
          </w:tcPr>
          <w:p>
            <w:pPr>
              <w:spacing w:after="60"/>
            </w:pPr>
            <w:r>
              <w:rPr>
                <w:rFonts w:ascii="Calibri" w:cs="Calibri" w:eastAsia="Calibri" w:hAnsi="Calibri"/>
                <w:b/>
                <w:bCs/>
                <w:color w:val="A53F3F"/>
                <w:spacing w:val="20"/>
                <w:sz w:val="15"/>
                <w:szCs w:val="15"/>
              </w:rPr>
              <w:t xml:space="preserve">PROHIBITED</w:t>
            </w:r>
          </w:p>
          <w:p>
            <w:pPr>
              <w:spacing w:after="40"/>
              <w:jc w:val="both"/>
            </w:pPr>
            <w:r>
              <w:rPr>
                <w:rFonts w:ascii="Calibri" w:cs="Calibri" w:eastAsia="Calibri" w:hAnsi="Calibri"/>
                <w:color w:val="1F2733"/>
                <w:sz w:val="17"/>
                <w:szCs w:val="17"/>
              </w:rPr>
              <w:t xml:space="preserve">The following are not permitted and may result in disciplinary action:</w:t>
            </w:r>
          </w:p>
          <w:p>
            <w:pPr>
              <w:pStyle w:val="ListParagraph"/>
              <w:numPr>
                <w:ilvl w:val="0"/>
                <w:numId w:val="3"/>
              </w:numPr>
              <w:spacing w:after="30"/>
            </w:pPr>
            <w:r>
              <w:rPr>
                <w:rFonts w:ascii="Calibri" w:cs="Calibri" w:eastAsia="Calibri" w:hAnsi="Calibri"/>
                <w:color w:val="1F2733"/>
                <w:sz w:val="17"/>
                <w:szCs w:val="17"/>
              </w:rPr>
              <w:t xml:space="preserve">Entering confidential, personal, regulated or otherwise sensitive data into unapproved or public AI services.</w:t>
            </w:r>
          </w:p>
          <w:p>
            <w:pPr>
              <w:pStyle w:val="ListParagraph"/>
              <w:numPr>
                <w:ilvl w:val="0"/>
                <w:numId w:val="3"/>
              </w:numPr>
              <w:spacing w:after="30"/>
            </w:pPr>
            <w:r>
              <w:rPr>
                <w:rFonts w:ascii="Calibri" w:cs="Calibri" w:eastAsia="Calibri" w:hAnsi="Calibri"/>
                <w:color w:val="1F2733"/>
                <w:sz w:val="17"/>
                <w:szCs w:val="17"/>
              </w:rPr>
              <w:t xml:space="preserve">Using AI for unlawful, discriminatory, deceptive, manipulative or harmful purposes.</w:t>
            </w:r>
          </w:p>
          <w:p>
            <w:pPr>
              <w:pStyle w:val="ListParagraph"/>
              <w:numPr>
                <w:ilvl w:val="0"/>
                <w:numId w:val="3"/>
              </w:numPr>
              <w:spacing w:after="30"/>
            </w:pPr>
            <w:r>
              <w:rPr>
                <w:rFonts w:ascii="Calibri" w:cs="Calibri" w:eastAsia="Calibri" w:hAnsi="Calibri"/>
                <w:color w:val="1F2733"/>
                <w:sz w:val="17"/>
                <w:szCs w:val="17"/>
              </w:rPr>
              <w:t xml:space="preserve">Relying on AI output for consequential decisions without required human review.</w:t>
            </w:r>
          </w:p>
          <w:p>
            <w:pPr>
              <w:pStyle w:val="ListParagraph"/>
              <w:numPr>
                <w:ilvl w:val="0"/>
                <w:numId w:val="3"/>
              </w:numPr>
              <w:spacing w:after="30"/>
            </w:pPr>
            <w:r>
              <w:rPr>
                <w:rFonts w:ascii="Calibri" w:cs="Calibri" w:eastAsia="Calibri" w:hAnsi="Calibri"/>
                <w:color w:val="1F2733"/>
                <w:sz w:val="17"/>
                <w:szCs w:val="17"/>
              </w:rPr>
              <w:t xml:space="preserve">Bypassing security controls, or using AI to create malware, conduct attacks or evade the law.</w:t>
            </w:r>
          </w:p>
          <w:p>
            <w:pPr>
              <w:pStyle w:val="ListParagraph"/>
              <w:numPr>
                <w:ilvl w:val="0"/>
                <w:numId w:val="3"/>
              </w:numPr>
              <w:spacing w:after="30"/>
            </w:pPr>
            <w:r>
              <w:rPr>
                <w:rFonts w:ascii="Calibri" w:cs="Calibri" w:eastAsia="Calibri" w:hAnsi="Calibri"/>
                <w:color w:val="1F2733"/>
                <w:sz w:val="17"/>
                <w:szCs w:val="17"/>
              </w:rPr>
              <w:t xml:space="preserve">Generating content that infringes intellectual property, or misrepresenting AI-generated content as independently verified.</w:t>
            </w:r>
          </w:p>
          <w:p>
            <w:pPr>
              <w:pStyle w:val="ListParagraph"/>
              <w:numPr>
                <w:ilvl w:val="0"/>
                <w:numId w:val="3"/>
              </w:numPr>
              <w:spacing w:after="30"/>
            </w:pPr>
            <w:r>
              <w:rPr>
                <w:rFonts w:ascii="Calibri" w:cs="Calibri" w:eastAsia="Calibri" w:hAnsi="Calibri"/>
                <w:color w:val="1F2733"/>
                <w:sz w:val="17"/>
                <w:szCs w:val="17"/>
              </w:rPr>
              <w:t xml:space="preserve">Using unapproved “shadow AI” tools that have not been assessed and registered.</w:t>
            </w:r>
          </w:p>
        </w:tc>
      </w:tr>
    </w:tbl>
    <w:p>
      <w:pPr>
        <w:pStyle w:val="Heading2"/>
        <w:keepNext/>
        <w:spacing w:after="90" w:before="220"/>
      </w:pPr>
      <w:r>
        <w:rPr>
          <w:rFonts w:ascii="Calibri" w:cs="Calibri" w:eastAsia="Calibri" w:hAnsi="Calibri"/>
          <w:b/>
          <w:bCs/>
          <w:color w:val="D30D50"/>
          <w:sz w:val="22"/>
          <w:szCs w:val="22"/>
        </w:rPr>
        <w:t xml:space="preserve">10.3  </w:t>
      </w:r>
      <w:r>
        <w:rPr>
          <w:rFonts w:ascii="Calibri" w:cs="Calibri" w:eastAsia="Calibri" w:hAnsi="Calibri"/>
          <w:b/>
          <w:bCs/>
          <w:color w:val="243A5E"/>
          <w:sz w:val="22"/>
          <w:szCs w:val="22"/>
        </w:rPr>
        <w:t xml:space="preserve">Generative AI and LLM usage</w:t>
      </w:r>
    </w:p>
    <w:p>
      <w:pPr>
        <w:pStyle w:val="ListParagraph"/>
        <w:numPr>
          <w:ilvl w:val="0"/>
          <w:numId w:val="2"/>
        </w:numPr>
        <w:spacing w:after="50"/>
        <w:jc w:val="both"/>
      </w:pPr>
      <w:r>
        <w:rPr>
          <w:rFonts w:ascii="Calibri" w:cs="Calibri" w:eastAsia="Calibri" w:hAnsi="Calibri"/>
          <w:color w:val="1F2733"/>
          <w:sz w:val="19"/>
          <w:szCs w:val="19"/>
        </w:rPr>
        <w:t xml:space="preserve">Do not assume confidentiality: content submitted to external AI services may be processed or retained by the provider.</w:t>
      </w:r>
    </w:p>
    <w:p>
      <w:pPr>
        <w:pStyle w:val="ListParagraph"/>
        <w:numPr>
          <w:ilvl w:val="0"/>
          <w:numId w:val="2"/>
        </w:numPr>
        <w:spacing w:after="50"/>
        <w:jc w:val="both"/>
      </w:pPr>
      <w:r>
        <w:rPr>
          <w:rFonts w:ascii="Calibri" w:cs="Calibri" w:eastAsia="Calibri" w:hAnsi="Calibri"/>
          <w:color w:val="1F2733"/>
          <w:sz w:val="19"/>
          <w:szCs w:val="19"/>
        </w:rPr>
        <w:t xml:space="preserve">Verify facts, figures, citations and code produced by generative AI before use — models can produce convincing but incorrect output.</w:t>
      </w:r>
    </w:p>
    <w:p>
      <w:pPr>
        <w:pStyle w:val="ListParagraph"/>
        <w:numPr>
          <w:ilvl w:val="0"/>
          <w:numId w:val="2"/>
        </w:numPr>
        <w:spacing w:after="50"/>
        <w:jc w:val="both"/>
      </w:pPr>
      <w:r>
        <w:rPr>
          <w:rFonts w:ascii="Calibri" w:cs="Calibri" w:eastAsia="Calibri" w:hAnsi="Calibri"/>
          <w:color w:val="1F2733"/>
          <w:sz w:val="19"/>
          <w:szCs w:val="19"/>
        </w:rPr>
        <w:t xml:space="preserve">Disclose AI assistance where transparency is required by policy, contract, law or professional standards.</w:t>
      </w:r>
    </w:p>
    <w:p>
      <w:pPr>
        <w:pStyle w:val="ListParagraph"/>
        <w:numPr>
          <w:ilvl w:val="0"/>
          <w:numId w:val="2"/>
        </w:numPr>
        <w:spacing w:after="50"/>
        <w:jc w:val="both"/>
      </w:pPr>
      <w:r>
        <w:rPr>
          <w:rFonts w:ascii="Calibri" w:cs="Calibri" w:eastAsia="Calibri" w:hAnsi="Calibri"/>
          <w:color w:val="1F2733"/>
          <w:sz w:val="19"/>
          <w:szCs w:val="19"/>
        </w:rPr>
        <w:t xml:space="preserve">Do not present AI-generated material as the work of a named individual where that would be misleading.</w:t>
      </w:r>
    </w:p>
    <w:p>
      <w:pPr>
        <w:pStyle w:val="Heading2"/>
        <w:keepNext/>
        <w:spacing w:after="90" w:before="220"/>
      </w:pPr>
      <w:r>
        <w:rPr>
          <w:rFonts w:ascii="Calibri" w:cs="Calibri" w:eastAsia="Calibri" w:hAnsi="Calibri"/>
          <w:b/>
          <w:bCs/>
          <w:color w:val="D30D50"/>
          <w:sz w:val="22"/>
          <w:szCs w:val="22"/>
        </w:rPr>
        <w:t xml:space="preserve">10.4  </w:t>
      </w:r>
      <w:r>
        <w:rPr>
          <w:rFonts w:ascii="Calibri" w:cs="Calibri" w:eastAsia="Calibri" w:hAnsi="Calibri"/>
          <w:b/>
          <w:bCs/>
          <w:color w:val="243A5E"/>
          <w:sz w:val="22"/>
          <w:szCs w:val="22"/>
        </w:rPr>
        <w:t xml:space="preserve">Shadow AI</w:t>
      </w:r>
    </w:p>
    <w:p>
      <w:pPr>
        <w:spacing w:after="120"/>
        <w:jc w:val="both"/>
      </w:pPr>
      <w:r>
        <w:rPr>
          <w:rFonts w:ascii="Calibri" w:cs="Calibri" w:eastAsia="Calibri" w:hAnsi="Calibri"/>
          <w:color w:val="1F2733"/>
          <w:sz w:val="19"/>
          <w:szCs w:val="19"/>
        </w:rPr>
        <w:t xml:space="preserve">Any AI tool not on the approved list must be submitted for assessment before use. Managers are responsible for surfacing shadow AI in their teams. The organisation may technically restrict access to unapproved AI services.</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11   </w:t>
      </w:r>
      <w:r>
        <w:rPr>
          <w:rFonts w:ascii="Calibri" w:cs="Calibri" w:eastAsia="Calibri" w:hAnsi="Calibri"/>
          <w:b/>
          <w:bCs/>
          <w:color w:val="152540"/>
          <w:sz w:val="28"/>
          <w:szCs w:val="28"/>
        </w:rPr>
        <w:t xml:space="preserve">Human Oversight, Transparency and Explainability</w:t>
      </w:r>
    </w:p>
    <w:p>
      <w:pPr>
        <w:pStyle w:val="ListParagraph"/>
        <w:numPr>
          <w:ilvl w:val="0"/>
          <w:numId w:val="2"/>
        </w:numPr>
        <w:spacing w:after="50"/>
        <w:jc w:val="both"/>
      </w:pPr>
      <w:r>
        <w:rPr>
          <w:rFonts w:ascii="Calibri" w:cs="Calibri" w:eastAsia="Calibri" w:hAnsi="Calibri"/>
          <w:b/>
          <w:bCs/>
          <w:color w:val="152540"/>
          <w:sz w:val="19"/>
          <w:szCs w:val="19"/>
        </w:rPr>
        <w:t xml:space="preserve">Human oversight.</w:t>
      </w:r>
      <w:r>
        <w:rPr>
          <w:rFonts w:ascii="Calibri" w:cs="Calibri" w:eastAsia="Calibri" w:hAnsi="Calibri"/>
          <w:color w:val="1F2733"/>
          <w:sz w:val="19"/>
          <w:szCs w:val="19"/>
        </w:rPr>
        <w:t xml:space="preserve"> Consequential decisions supported by AI must allow for meaningful human review and, where appropriate, the ability to override or reverse the outcome. Fully automated decisions with legal or similarly significant effect on individuals require specific safeguards and, where mandated, are restricted or subject to the individual’s rights.</w:t>
      </w:r>
    </w:p>
    <w:p>
      <w:pPr>
        <w:pStyle w:val="ListParagraph"/>
        <w:numPr>
          <w:ilvl w:val="0"/>
          <w:numId w:val="2"/>
        </w:numPr>
        <w:spacing w:after="50"/>
        <w:jc w:val="both"/>
      </w:pPr>
      <w:r>
        <w:rPr>
          <w:rFonts w:ascii="Calibri" w:cs="Calibri" w:eastAsia="Calibri" w:hAnsi="Calibri"/>
          <w:b/>
          <w:bCs/>
          <w:color w:val="152540"/>
          <w:sz w:val="19"/>
          <w:szCs w:val="19"/>
        </w:rPr>
        <w:t xml:space="preserve">Transparency.</w:t>
      </w:r>
      <w:r>
        <w:rPr>
          <w:rFonts w:ascii="Calibri" w:cs="Calibri" w:eastAsia="Calibri" w:hAnsi="Calibri"/>
          <w:color w:val="1F2733"/>
          <w:sz w:val="19"/>
          <w:szCs w:val="19"/>
        </w:rPr>
        <w:t xml:space="preserve"> Where individuals interact with an AI system or are subject to AI-supported decisions, this is disclosed clearly, together with information appropriate to the context.</w:t>
      </w:r>
    </w:p>
    <w:p>
      <w:pPr>
        <w:pStyle w:val="ListParagraph"/>
        <w:numPr>
          <w:ilvl w:val="0"/>
          <w:numId w:val="2"/>
        </w:numPr>
        <w:spacing w:after="50"/>
        <w:jc w:val="both"/>
      </w:pPr>
      <w:r>
        <w:rPr>
          <w:rFonts w:ascii="Calibri" w:cs="Calibri" w:eastAsia="Calibri" w:hAnsi="Calibri"/>
          <w:b/>
          <w:bCs/>
          <w:color w:val="152540"/>
          <w:sz w:val="19"/>
          <w:szCs w:val="19"/>
        </w:rPr>
        <w:t xml:space="preserve">Explainability.</w:t>
      </w:r>
      <w:r>
        <w:rPr>
          <w:rFonts w:ascii="Calibri" w:cs="Calibri" w:eastAsia="Calibri" w:hAnsi="Calibri"/>
          <w:color w:val="1F2733"/>
          <w:sz w:val="19"/>
          <w:szCs w:val="19"/>
        </w:rPr>
        <w:t xml:space="preserve"> High-risk systems must be documented such that their logic, inputs, limitations and the basis of their outputs can be explained to an appropriate degree to reviewers, auditors and, where relevant, affected individuals.</w:t>
      </w:r>
    </w:p>
    <w:p>
      <w:pPr>
        <w:pStyle w:val="ListParagraph"/>
        <w:numPr>
          <w:ilvl w:val="0"/>
          <w:numId w:val="2"/>
        </w:numPr>
        <w:spacing w:after="50"/>
        <w:jc w:val="both"/>
      </w:pPr>
      <w:r>
        <w:rPr>
          <w:rFonts w:ascii="Calibri" w:cs="Calibri" w:eastAsia="Calibri" w:hAnsi="Calibri"/>
          <w:b/>
          <w:bCs/>
          <w:color w:val="152540"/>
          <w:sz w:val="19"/>
          <w:szCs w:val="19"/>
        </w:rPr>
        <w:t xml:space="preserve">Contestability.</w:t>
      </w:r>
      <w:r>
        <w:rPr>
          <w:rFonts w:ascii="Calibri" w:cs="Calibri" w:eastAsia="Calibri" w:hAnsi="Calibri"/>
          <w:color w:val="1F2733"/>
          <w:sz w:val="19"/>
          <w:szCs w:val="19"/>
        </w:rPr>
        <w:t xml:space="preserve"> Affected individuals have an accessible route to question or seek review of significant AI-supported decisions.</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12   </w:t>
      </w:r>
      <w:r>
        <w:rPr>
          <w:rFonts w:ascii="Calibri" w:cs="Calibri" w:eastAsia="Calibri" w:hAnsi="Calibri"/>
          <w:b/>
          <w:bCs/>
          <w:color w:val="152540"/>
          <w:sz w:val="28"/>
          <w:szCs w:val="28"/>
        </w:rPr>
        <w:t xml:space="preserve">Third-Party and Supply-Chain Management</w:t>
      </w:r>
    </w:p>
    <w:p>
      <w:pPr>
        <w:spacing w:after="120"/>
        <w:jc w:val="both"/>
      </w:pPr>
      <w:r>
        <w:rPr>
          <w:rFonts w:ascii="Calibri" w:cs="Calibri" w:eastAsia="Calibri" w:hAnsi="Calibri"/>
          <w:color w:val="1F2733"/>
          <w:sz w:val="19"/>
          <w:szCs w:val="19"/>
        </w:rPr>
        <w:t xml:space="preserve">AI suppliers and embedded AI features are assessed before onboarding and monitored throughout the relationship. Assessment considers, at minimum:</w:t>
      </w:r>
    </w:p>
    <w:p>
      <w:pPr>
        <w:pStyle w:val="ListParagraph"/>
        <w:numPr>
          <w:ilvl w:val="0"/>
          <w:numId w:val="2"/>
        </w:numPr>
        <w:spacing w:after="50"/>
        <w:jc w:val="both"/>
      </w:pPr>
      <w:r>
        <w:rPr>
          <w:rFonts w:ascii="Calibri" w:cs="Calibri" w:eastAsia="Calibri" w:hAnsi="Calibri"/>
          <w:color w:val="1F2733"/>
          <w:sz w:val="19"/>
          <w:szCs w:val="19"/>
        </w:rPr>
        <w:t xml:space="preserve">The provider’s security posture, certifications and independent assurance (e.g. ISO/IEC 27001, SOC 2, ISO/IEC 42001).</w:t>
      </w:r>
    </w:p>
    <w:p>
      <w:pPr>
        <w:pStyle w:val="ListParagraph"/>
        <w:numPr>
          <w:ilvl w:val="0"/>
          <w:numId w:val="2"/>
        </w:numPr>
        <w:spacing w:after="50"/>
        <w:jc w:val="both"/>
      </w:pPr>
      <w:r>
        <w:rPr>
          <w:rFonts w:ascii="Calibri" w:cs="Calibri" w:eastAsia="Calibri" w:hAnsi="Calibri"/>
          <w:color w:val="1F2733"/>
          <w:sz w:val="19"/>
          <w:szCs w:val="19"/>
        </w:rPr>
        <w:t xml:space="preserve">Data handling: where data is processed and stored, retention, sub-processors, and whether inputs are used to train the provider’s models.</w:t>
      </w:r>
    </w:p>
    <w:p>
      <w:pPr>
        <w:pStyle w:val="ListParagraph"/>
        <w:numPr>
          <w:ilvl w:val="0"/>
          <w:numId w:val="2"/>
        </w:numPr>
        <w:spacing w:after="50"/>
        <w:jc w:val="both"/>
      </w:pPr>
      <w:r>
        <w:rPr>
          <w:rFonts w:ascii="Calibri" w:cs="Calibri" w:eastAsia="Calibri" w:hAnsi="Calibri"/>
          <w:color w:val="1F2733"/>
          <w:sz w:val="19"/>
          <w:szCs w:val="19"/>
        </w:rPr>
        <w:t xml:space="preserve">Model provenance, transparency about training data, and known limitations.</w:t>
      </w:r>
    </w:p>
    <w:p>
      <w:pPr>
        <w:pStyle w:val="ListParagraph"/>
        <w:numPr>
          <w:ilvl w:val="0"/>
          <w:numId w:val="2"/>
        </w:numPr>
        <w:spacing w:after="50"/>
        <w:jc w:val="both"/>
      </w:pPr>
      <w:r>
        <w:rPr>
          <w:rFonts w:ascii="Calibri" w:cs="Calibri" w:eastAsia="Calibri" w:hAnsi="Calibri"/>
          <w:color w:val="1F2733"/>
          <w:sz w:val="19"/>
          <w:szCs w:val="19"/>
        </w:rPr>
        <w:t xml:space="preserve">Security of the integration (authentication, APIs, keys) and the provider’s incident-notification commitments.</w:t>
      </w:r>
    </w:p>
    <w:p>
      <w:pPr>
        <w:pStyle w:val="ListParagraph"/>
        <w:numPr>
          <w:ilvl w:val="0"/>
          <w:numId w:val="2"/>
        </w:numPr>
        <w:spacing w:after="50"/>
        <w:jc w:val="both"/>
      </w:pPr>
      <w:r>
        <w:rPr>
          <w:rFonts w:ascii="Calibri" w:cs="Calibri" w:eastAsia="Calibri" w:hAnsi="Calibri"/>
          <w:color w:val="1F2733"/>
          <w:sz w:val="19"/>
          <w:szCs w:val="19"/>
        </w:rPr>
        <w:t xml:space="preserve">Contractual protections: confidentiality, data protection terms, security requirements, audit rights, liability and exit / data-return provisions.</w:t>
      </w:r>
    </w:p>
    <w:p>
      <w:pPr>
        <w:spacing w:after="120"/>
        <w:jc w:val="both"/>
      </w:pPr>
      <w:r>
        <w:rPr>
          <w:rFonts w:ascii="Calibri" w:cs="Calibri" w:eastAsia="Calibri" w:hAnsi="Calibri"/>
          <w:color w:val="1F2733"/>
          <w:sz w:val="19"/>
          <w:szCs w:val="19"/>
        </w:rPr>
        <w:t xml:space="preserve">Suppliers of high-risk AI are subject to enhanced due diligence and periodic reassessment. An inventory of AI suppliers and embedded AI features is maintained as part of the AI register.</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13   </w:t>
      </w:r>
      <w:r>
        <w:rPr>
          <w:rFonts w:ascii="Calibri" w:cs="Calibri" w:eastAsia="Calibri" w:hAnsi="Calibri"/>
          <w:b/>
          <w:bCs/>
          <w:color w:val="152540"/>
          <w:sz w:val="28"/>
          <w:szCs w:val="28"/>
        </w:rPr>
        <w:t xml:space="preserve">AI Security Incident Management</w:t>
      </w:r>
    </w:p>
    <w:p>
      <w:pPr>
        <w:spacing w:after="120"/>
        <w:jc w:val="both"/>
      </w:pPr>
      <w:r>
        <w:rPr>
          <w:rFonts w:ascii="Calibri" w:cs="Calibri" w:eastAsia="Calibri" w:hAnsi="Calibri"/>
          <w:color w:val="1F2733"/>
          <w:sz w:val="19"/>
          <w:szCs w:val="19"/>
        </w:rPr>
        <w:t xml:space="preserve">AI-related incidents are managed under the organisation’s Incident Response Plan, with AI-specific considerations. An AI security incident includes any event that compromises the security, integrity, safety, privacy or intended behaviour of an AI system.</w:t>
      </w:r>
    </w:p>
    <w:p>
      <w:pPr>
        <w:pStyle w:val="ListParagraph"/>
        <w:numPr>
          <w:ilvl w:val="0"/>
          <w:numId w:val="2"/>
        </w:numPr>
        <w:spacing w:after="50"/>
        <w:jc w:val="both"/>
      </w:pPr>
      <w:r>
        <w:rPr>
          <w:rFonts w:ascii="Calibri" w:cs="Calibri" w:eastAsia="Calibri" w:hAnsi="Calibri"/>
          <w:b/>
          <w:bCs/>
          <w:color w:val="152540"/>
          <w:sz w:val="19"/>
          <w:szCs w:val="19"/>
        </w:rPr>
        <w:t xml:space="preserve">Examples.</w:t>
      </w:r>
      <w:r>
        <w:rPr>
          <w:rFonts w:ascii="Calibri" w:cs="Calibri" w:eastAsia="Calibri" w:hAnsi="Calibri"/>
          <w:color w:val="1F2733"/>
          <w:sz w:val="19"/>
          <w:szCs w:val="19"/>
        </w:rPr>
        <w:t xml:space="preserve"> Successful prompt injection; leakage of sensitive data through a model; poisoning or unauthorised modification; harmful, biased or unsafe output causing impact; model theft; or misuse of an AI service.</w:t>
      </w:r>
    </w:p>
    <w:p>
      <w:pPr>
        <w:pStyle w:val="ListParagraph"/>
        <w:numPr>
          <w:ilvl w:val="0"/>
          <w:numId w:val="2"/>
        </w:numPr>
        <w:spacing w:after="50"/>
        <w:jc w:val="both"/>
      </w:pPr>
      <w:r>
        <w:rPr>
          <w:rFonts w:ascii="Calibri" w:cs="Calibri" w:eastAsia="Calibri" w:hAnsi="Calibri"/>
          <w:b/>
          <w:bCs/>
          <w:color w:val="152540"/>
          <w:sz w:val="19"/>
          <w:szCs w:val="19"/>
        </w:rPr>
        <w:t xml:space="preserve">Reporting.</w:t>
      </w:r>
      <w:r>
        <w:rPr>
          <w:rFonts w:ascii="Calibri" w:cs="Calibri" w:eastAsia="Calibri" w:hAnsi="Calibri"/>
          <w:color w:val="1F2733"/>
          <w:sz w:val="19"/>
          <w:szCs w:val="19"/>
        </w:rPr>
        <w:t xml:space="preserve"> All staff must report suspected AI incidents promptly via </w:t>
      </w:r>
      <w:r>
        <w:rPr>
          <w:rFonts w:ascii="Calibri" w:cs="Calibri" w:eastAsia="Calibri" w:hAnsi="Calibri"/>
          <w:b/>
          <w:bCs/>
          <w:color w:val="D30D50"/>
          <w:sz w:val="19"/>
          <w:szCs w:val="19"/>
        </w:rPr>
        <w:t xml:space="preserve">[reporting channel]</w:t>
      </w:r>
      <w:r>
        <w:rPr>
          <w:rFonts w:ascii="Calibri" w:cs="Calibri" w:eastAsia="Calibri" w:hAnsi="Calibri"/>
          <w:color w:val="1F2733"/>
          <w:sz w:val="19"/>
          <w:szCs w:val="19"/>
        </w:rPr>
        <w:t xml:space="preserve">. No individual will be penalised for reporting in good faith.</w:t>
      </w:r>
    </w:p>
    <w:p>
      <w:pPr>
        <w:pStyle w:val="ListParagraph"/>
        <w:numPr>
          <w:ilvl w:val="0"/>
          <w:numId w:val="2"/>
        </w:numPr>
        <w:spacing w:after="50"/>
        <w:jc w:val="both"/>
      </w:pPr>
      <w:r>
        <w:rPr>
          <w:rFonts w:ascii="Calibri" w:cs="Calibri" w:eastAsia="Calibri" w:hAnsi="Calibri"/>
          <w:b/>
          <w:bCs/>
          <w:color w:val="152540"/>
          <w:sz w:val="19"/>
          <w:szCs w:val="19"/>
        </w:rPr>
        <w:t xml:space="preserve">Response.</w:t>
      </w:r>
      <w:r>
        <w:rPr>
          <w:rFonts w:ascii="Calibri" w:cs="Calibri" w:eastAsia="Calibri" w:hAnsi="Calibri"/>
          <w:color w:val="1F2733"/>
          <w:sz w:val="19"/>
          <w:szCs w:val="19"/>
        </w:rPr>
        <w:t xml:space="preserve"> Incidents are triaged, contained, investigated and remediated by Security with the system owner; affected systems may be suspended.</w:t>
      </w:r>
    </w:p>
    <w:p>
      <w:pPr>
        <w:pStyle w:val="ListParagraph"/>
        <w:numPr>
          <w:ilvl w:val="0"/>
          <w:numId w:val="2"/>
        </w:numPr>
        <w:spacing w:after="50"/>
        <w:jc w:val="both"/>
      </w:pPr>
      <w:r>
        <w:rPr>
          <w:rFonts w:ascii="Calibri" w:cs="Calibri" w:eastAsia="Calibri" w:hAnsi="Calibri"/>
          <w:b/>
          <w:bCs/>
          <w:color w:val="152540"/>
          <w:sz w:val="19"/>
          <w:szCs w:val="19"/>
        </w:rPr>
        <w:t xml:space="preserve">Notification.</w:t>
      </w:r>
      <w:r>
        <w:rPr>
          <w:rFonts w:ascii="Calibri" w:cs="Calibri" w:eastAsia="Calibri" w:hAnsi="Calibri"/>
          <w:color w:val="1F2733"/>
          <w:sz w:val="19"/>
          <w:szCs w:val="19"/>
        </w:rPr>
        <w:t xml:space="preserve"> Legal and the DPO determine any regulatory, contractual or data-breach notification obligations and applicable deadlines.</w:t>
      </w:r>
    </w:p>
    <w:p>
      <w:pPr>
        <w:pStyle w:val="ListParagraph"/>
        <w:numPr>
          <w:ilvl w:val="0"/>
          <w:numId w:val="2"/>
        </w:numPr>
        <w:spacing w:after="50"/>
        <w:jc w:val="both"/>
      </w:pPr>
      <w:r>
        <w:rPr>
          <w:rFonts w:ascii="Calibri" w:cs="Calibri" w:eastAsia="Calibri" w:hAnsi="Calibri"/>
          <w:b/>
          <w:bCs/>
          <w:color w:val="152540"/>
          <w:sz w:val="19"/>
          <w:szCs w:val="19"/>
        </w:rPr>
        <w:t xml:space="preserve">Learning.</w:t>
      </w:r>
      <w:r>
        <w:rPr>
          <w:rFonts w:ascii="Calibri" w:cs="Calibri" w:eastAsia="Calibri" w:hAnsi="Calibri"/>
          <w:color w:val="1F2733"/>
          <w:sz w:val="19"/>
          <w:szCs w:val="19"/>
        </w:rPr>
        <w:t xml:space="preserve"> Post-incident reviews capture root cause and improvements, which feed back into controls, training and the risk register.</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14   </w:t>
      </w:r>
      <w:r>
        <w:rPr>
          <w:rFonts w:ascii="Calibri" w:cs="Calibri" w:eastAsia="Calibri" w:hAnsi="Calibri"/>
          <w:b/>
          <w:bCs/>
          <w:color w:val="152540"/>
          <w:sz w:val="28"/>
          <w:szCs w:val="28"/>
        </w:rPr>
        <w:t xml:space="preserve">Legal, Regulatory and Compliance Alignment</w:t>
      </w:r>
    </w:p>
    <w:p>
      <w:pPr>
        <w:spacing w:after="120"/>
        <w:jc w:val="both"/>
      </w:pPr>
      <w:r>
        <w:rPr>
          <w:rFonts w:ascii="Calibri" w:cs="Calibri" w:eastAsia="Calibri" w:hAnsi="Calibri"/>
          <w:color w:val="1F2733"/>
          <w:sz w:val="19"/>
          <w:szCs w:val="19"/>
        </w:rPr>
        <w:t xml:space="preserve">The organisation uses AI in compliance with applicable laws, regulations, standards and contractual obligations. Legal &amp; Compliance maintains awareness of the evolving AI regulatory landscape relevant to the organisation. Frameworks and instruments considered by this policy include:</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3900"/>
        <w:gridCol w:w="5960"/>
      </w:tblGrid>
      <w:tr>
        <w:trPr>
          <w:tblHeader/>
        </w:trPr>
        <w:tc>
          <w:tcPr>
            <w:tcW w:type="dxa" w:w="39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Instrument / framework</w:t>
            </w:r>
          </w:p>
        </w:tc>
        <w:tc>
          <w:tcPr>
            <w:tcW w:type="dxa" w:w="596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Relevance</w:t>
            </w:r>
          </w:p>
        </w:tc>
      </w:tr>
      <w:tr>
        <w:tc>
          <w:tcPr>
            <w:tcW w:type="dxa" w:w="3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ISO/IEC 42001:2023</w:t>
            </w:r>
          </w:p>
        </w:tc>
        <w:tc>
          <w:tcPr>
            <w:tcW w:type="dxa" w:w="5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Management system for artificial intelligence — governance, lifecycle and continual improvement.</w:t>
            </w:r>
          </w:p>
        </w:tc>
      </w:tr>
      <w:tr>
        <w:tc>
          <w:tcPr>
            <w:tcW w:type="dxa" w:w="3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ISO/IEC 27001:2022</w:t>
            </w:r>
          </w:p>
        </w:tc>
        <w:tc>
          <w:tcPr>
            <w:tcW w:type="dxa" w:w="5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Information security management system underpinning AI security controls.</w:t>
            </w:r>
          </w:p>
        </w:tc>
      </w:tr>
      <w:tr>
        <w:tc>
          <w:tcPr>
            <w:tcW w:type="dxa" w:w="3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ISO/IEC 23894:2023</w:t>
            </w:r>
          </w:p>
        </w:tc>
        <w:tc>
          <w:tcPr>
            <w:tcW w:type="dxa" w:w="5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Guidance on AI risk management.</w:t>
            </w:r>
          </w:p>
        </w:tc>
      </w:tr>
      <w:tr>
        <w:tc>
          <w:tcPr>
            <w:tcW w:type="dxa" w:w="3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NIST AI Risk Management Framework 1.0</w:t>
            </w:r>
          </w:p>
        </w:tc>
        <w:tc>
          <w:tcPr>
            <w:tcW w:type="dxa" w:w="5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Govern, Map, Measure and Manage functions for trustworthy AI.</w:t>
            </w:r>
          </w:p>
        </w:tc>
      </w:tr>
      <w:tr>
        <w:tc>
          <w:tcPr>
            <w:tcW w:type="dxa" w:w="3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EU AI Act</w:t>
            </w:r>
          </w:p>
        </w:tc>
        <w:tc>
          <w:tcPr>
            <w:tcW w:type="dxa" w:w="5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Risk-based obligations for providers and deployers of AI systems.</w:t>
            </w:r>
          </w:p>
        </w:tc>
      </w:tr>
      <w:tr>
        <w:tc>
          <w:tcPr>
            <w:tcW w:type="dxa" w:w="3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GDPR / Swiss revFADP (nDSG)</w:t>
            </w:r>
          </w:p>
        </w:tc>
        <w:tc>
          <w:tcPr>
            <w:tcW w:type="dxa" w:w="5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Protection of personal data processed by AI systems.</w:t>
            </w:r>
          </w:p>
        </w:tc>
      </w:tr>
      <w:tr>
        <w:tc>
          <w:tcPr>
            <w:tcW w:type="dxa" w:w="3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Sector regulation (e.g. NIS2, DORA)</w:t>
            </w:r>
          </w:p>
        </w:tc>
        <w:tc>
          <w:tcPr>
            <w:tcW w:type="dxa" w:w="5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Additional security and resilience obligations where the organisation is in scope.</w:t>
            </w:r>
          </w:p>
        </w:tc>
      </w:tr>
      <w:tr>
        <w:tc>
          <w:tcPr>
            <w:tcW w:type="dxa" w:w="3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OWASP Top 10 for LLM Applications · MITRE ATLAS</w:t>
            </w:r>
          </w:p>
        </w:tc>
        <w:tc>
          <w:tcPr>
            <w:tcW w:type="dxa" w:w="5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Reference threat catalogues for AI-specific security testing and controls.</w:t>
            </w:r>
          </w:p>
        </w:tc>
      </w:tr>
    </w:tbl>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9860"/>
      </w:tblGrid>
      <w:tr>
        <w:tc>
          <w:tcPr>
            <w:tcW w:type="dxa" w:w="9860"/>
            <w:tcBorders>
              <w:top w:val="none" w:color="FFFFFF" w:sz="0"/>
              <w:left w:val="single" w:color="D30D50" w:sz="26"/>
              <w:bottom w:val="none" w:color="FFFFFF" w:sz="0"/>
              <w:right w:val="none" w:color="FFFFFF" w:sz="0"/>
            </w:tcBorders>
            <w:shd w:fill="FBE7EE" w:color="auto" w:val="clear"/>
            <w:tcMar>
              <w:top w:type="dxa" w:w="120"/>
              <w:left w:type="dxa" w:w="200"/>
              <w:bottom w:type="dxa" w:w="120"/>
              <w:right w:type="dxa" w:w="160"/>
            </w:tcMar>
          </w:tcPr>
          <w:p>
            <w:pPr>
              <w:spacing w:after="60"/>
            </w:pPr>
            <w:r>
              <w:rPr>
                <w:rFonts w:ascii="Calibri" w:cs="Calibri" w:eastAsia="Calibri" w:hAnsi="Calibri"/>
                <w:b/>
                <w:bCs/>
                <w:color w:val="D30D50"/>
                <w:spacing w:val="20"/>
                <w:sz w:val="15"/>
                <w:szCs w:val="15"/>
              </w:rPr>
              <w:t xml:space="preserve">TEMPLATE GUIDANCE</w:t>
            </w:r>
          </w:p>
          <w:p>
            <w:pPr>
              <w:spacing w:after="40"/>
              <w:jc w:val="both"/>
            </w:pPr>
            <w:r>
              <w:rPr>
                <w:rFonts w:ascii="Calibri" w:cs="Calibri" w:eastAsia="Calibri" w:hAnsi="Calibri"/>
                <w:color w:val="1F2733"/>
                <w:sz w:val="17"/>
                <w:szCs w:val="17"/>
              </w:rPr>
              <w:t xml:space="preserve">Retain only the instruments that apply to your organisation, and add any sector- or country-specific obligations. Confirm dates and legal classifications with qualified counsel; regulatory requirements and timelines change.</w:t>
            </w:r>
          </w:p>
        </w:tc>
      </w:tr>
    </w:tbl>
    <w:p>
      <w:pPr>
        <w:pStyle w:val="Heading1"/>
        <w:keepNext/>
        <w:pBdr>
          <w:bottom w:val="single" w:color="D30D50" w:sz="14" w:space="6"/>
        </w:pBdr>
        <w:spacing w:after="140" w:before="320"/>
      </w:pPr>
      <w:r>
        <w:rPr>
          <w:rFonts w:ascii="Calibri" w:cs="Calibri" w:eastAsia="Calibri" w:hAnsi="Calibri"/>
          <w:b/>
          <w:bCs/>
          <w:color w:val="D30D50"/>
          <w:sz w:val="28"/>
          <w:szCs w:val="28"/>
        </w:rPr>
        <w:t xml:space="preserve">15   </w:t>
      </w:r>
      <w:r>
        <w:rPr>
          <w:rFonts w:ascii="Calibri" w:cs="Calibri" w:eastAsia="Calibri" w:hAnsi="Calibri"/>
          <w:b/>
          <w:bCs/>
          <w:color w:val="152540"/>
          <w:sz w:val="28"/>
          <w:szCs w:val="28"/>
        </w:rPr>
        <w:t xml:space="preserve">Training and Awareness</w:t>
      </w:r>
    </w:p>
    <w:p>
      <w:pPr>
        <w:pStyle w:val="ListParagraph"/>
        <w:numPr>
          <w:ilvl w:val="0"/>
          <w:numId w:val="2"/>
        </w:numPr>
        <w:spacing w:after="50"/>
        <w:jc w:val="both"/>
      </w:pPr>
      <w:r>
        <w:rPr>
          <w:rFonts w:ascii="Calibri" w:cs="Calibri" w:eastAsia="Calibri" w:hAnsi="Calibri"/>
          <w:color w:val="1F2733"/>
          <w:sz w:val="19"/>
          <w:szCs w:val="19"/>
        </w:rPr>
        <w:t xml:space="preserve">All staff receive AI awareness training covering this policy, acceptable use, data protection and how to report incidents, at onboarding and at least annually.</w:t>
      </w:r>
    </w:p>
    <w:p>
      <w:pPr>
        <w:pStyle w:val="ListParagraph"/>
        <w:numPr>
          <w:ilvl w:val="0"/>
          <w:numId w:val="2"/>
        </w:numPr>
        <w:spacing w:after="50"/>
        <w:jc w:val="both"/>
      </w:pPr>
      <w:r>
        <w:rPr>
          <w:rFonts w:ascii="Calibri" w:cs="Calibri" w:eastAsia="Calibri" w:hAnsi="Calibri"/>
          <w:color w:val="1F2733"/>
          <w:sz w:val="19"/>
          <w:szCs w:val="19"/>
        </w:rPr>
        <w:t xml:space="preserve">Roles with elevated responsibility (developers, system owners, procurement) receive additional role-specific training on secure AI development, risk assessment and supplier evaluation.</w:t>
      </w:r>
    </w:p>
    <w:p>
      <w:pPr>
        <w:pStyle w:val="ListParagraph"/>
        <w:numPr>
          <w:ilvl w:val="0"/>
          <w:numId w:val="2"/>
        </w:numPr>
        <w:spacing w:after="50"/>
        <w:jc w:val="both"/>
      </w:pPr>
      <w:r>
        <w:rPr>
          <w:rFonts w:ascii="Calibri" w:cs="Calibri" w:eastAsia="Calibri" w:hAnsi="Calibri"/>
          <w:color w:val="1F2733"/>
          <w:sz w:val="19"/>
          <w:szCs w:val="19"/>
        </w:rPr>
        <w:t xml:space="preserve">Awareness content is updated to reflect new AI capabilities, threats and regulatory changes.</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16   </w:t>
      </w:r>
      <w:r>
        <w:rPr>
          <w:rFonts w:ascii="Calibri" w:cs="Calibri" w:eastAsia="Calibri" w:hAnsi="Calibri"/>
          <w:b/>
          <w:bCs/>
          <w:color w:val="152540"/>
          <w:sz w:val="28"/>
          <w:szCs w:val="28"/>
        </w:rPr>
        <w:t xml:space="preserve">Monitoring, Audit and Assurance</w:t>
      </w:r>
    </w:p>
    <w:p>
      <w:pPr>
        <w:pStyle w:val="ListParagraph"/>
        <w:numPr>
          <w:ilvl w:val="0"/>
          <w:numId w:val="2"/>
        </w:numPr>
        <w:spacing w:after="50"/>
        <w:jc w:val="both"/>
      </w:pPr>
      <w:r>
        <w:rPr>
          <w:rFonts w:ascii="Calibri" w:cs="Calibri" w:eastAsia="Calibri" w:hAnsi="Calibri"/>
          <w:color w:val="1F2733"/>
          <w:sz w:val="19"/>
          <w:szCs w:val="19"/>
        </w:rPr>
        <w:t xml:space="preserve">Compliance with this policy is monitored on an ongoing basis by the CISO and reported to the AI Governance Committee.</w:t>
      </w:r>
    </w:p>
    <w:p>
      <w:pPr>
        <w:pStyle w:val="ListParagraph"/>
        <w:numPr>
          <w:ilvl w:val="0"/>
          <w:numId w:val="2"/>
        </w:numPr>
        <w:spacing w:after="50"/>
        <w:jc w:val="both"/>
      </w:pPr>
      <w:r>
        <w:rPr>
          <w:rFonts w:ascii="Calibri" w:cs="Calibri" w:eastAsia="Calibri" w:hAnsi="Calibri"/>
          <w:color w:val="1F2733"/>
          <w:sz w:val="19"/>
          <w:szCs w:val="19"/>
        </w:rPr>
        <w:t xml:space="preserve">The AI register is reviewed regularly to confirm completeness and that controls remain appropriate to each system’s risk tier.</w:t>
      </w:r>
    </w:p>
    <w:p>
      <w:pPr>
        <w:pStyle w:val="ListParagraph"/>
        <w:numPr>
          <w:ilvl w:val="0"/>
          <w:numId w:val="2"/>
        </w:numPr>
        <w:spacing w:after="50"/>
        <w:jc w:val="both"/>
      </w:pPr>
      <w:r>
        <w:rPr>
          <w:rFonts w:ascii="Calibri" w:cs="Calibri" w:eastAsia="Calibri" w:hAnsi="Calibri"/>
          <w:color w:val="1F2733"/>
          <w:sz w:val="19"/>
          <w:szCs w:val="19"/>
        </w:rPr>
        <w:t xml:space="preserve">Internal Audit provides periodic independent assurance over AI governance and controls.</w:t>
      </w:r>
    </w:p>
    <w:p>
      <w:pPr>
        <w:pStyle w:val="ListParagraph"/>
        <w:numPr>
          <w:ilvl w:val="0"/>
          <w:numId w:val="2"/>
        </w:numPr>
        <w:spacing w:after="50"/>
        <w:jc w:val="both"/>
      </w:pPr>
      <w:r>
        <w:rPr>
          <w:rFonts w:ascii="Calibri" w:cs="Calibri" w:eastAsia="Calibri" w:hAnsi="Calibri"/>
          <w:color w:val="1F2733"/>
          <w:sz w:val="19"/>
          <w:szCs w:val="19"/>
        </w:rPr>
        <w:t xml:space="preserve">Key metrics (e.g. registered vs. shadow AI, high-risk approvals, incidents, overdue reviews) are tracked and reported to management.</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17   </w:t>
      </w:r>
      <w:r>
        <w:rPr>
          <w:rFonts w:ascii="Calibri" w:cs="Calibri" w:eastAsia="Calibri" w:hAnsi="Calibri"/>
          <w:b/>
          <w:bCs/>
          <w:color w:val="152540"/>
          <w:sz w:val="28"/>
          <w:szCs w:val="28"/>
        </w:rPr>
        <w:t xml:space="preserve">Exceptions and Waivers</w:t>
      </w:r>
    </w:p>
    <w:p>
      <w:pPr>
        <w:spacing w:after="120"/>
        <w:jc w:val="both"/>
      </w:pPr>
      <w:r>
        <w:rPr>
          <w:rFonts w:ascii="Calibri" w:cs="Calibri" w:eastAsia="Calibri" w:hAnsi="Calibri"/>
          <w:color w:val="1F2733"/>
          <w:sz w:val="19"/>
          <w:szCs w:val="19"/>
        </w:rPr>
        <w:t xml:space="preserve">Exceptions to this policy are permitted only where there is a valid business justification and compensating controls. Requests are documented, risk-assessed, time-bound and approved by the CISO and, for high-risk cases, the AI Governance Committee. All exceptions are recorded in a central register and reviewed at expiry. An exception does not remove the requirement to comply with applicable law.</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18   </w:t>
      </w:r>
      <w:r>
        <w:rPr>
          <w:rFonts w:ascii="Calibri" w:cs="Calibri" w:eastAsia="Calibri" w:hAnsi="Calibri"/>
          <w:b/>
          <w:bCs/>
          <w:color w:val="152540"/>
          <w:sz w:val="28"/>
          <w:szCs w:val="28"/>
        </w:rPr>
        <w:t xml:space="preserve">Enforcement and Non-Compliance</w:t>
      </w:r>
    </w:p>
    <w:p>
      <w:pPr>
        <w:spacing w:after="120"/>
        <w:jc w:val="both"/>
      </w:pPr>
      <w:r>
        <w:rPr>
          <w:rFonts w:ascii="Calibri" w:cs="Calibri" w:eastAsia="Calibri" w:hAnsi="Calibri"/>
          <w:color w:val="1F2733"/>
          <w:sz w:val="19"/>
          <w:szCs w:val="19"/>
        </w:rPr>
        <w:t xml:space="preserve">Compliance with this policy is mandatory. Failure to comply may result in disciplinary action up to and including termination, and, where applicable, civil or criminal liability. Access to AI systems and services may be suspended or revoked in cases of misuse. Third parties in breach may face contractual consequences including termination.</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19   </w:t>
      </w:r>
      <w:r>
        <w:rPr>
          <w:rFonts w:ascii="Calibri" w:cs="Calibri" w:eastAsia="Calibri" w:hAnsi="Calibri"/>
          <w:b/>
          <w:bCs/>
          <w:color w:val="152540"/>
          <w:sz w:val="28"/>
          <w:szCs w:val="28"/>
        </w:rPr>
        <w:t xml:space="preserve">Policy Review and Maintenance</w:t>
      </w:r>
    </w:p>
    <w:p>
      <w:pPr>
        <w:spacing w:after="120"/>
        <w:jc w:val="both"/>
      </w:pPr>
      <w:r>
        <w:rPr>
          <w:rFonts w:ascii="Calibri" w:cs="Calibri" w:eastAsia="Calibri" w:hAnsi="Calibri"/>
          <w:color w:val="1F2733"/>
          <w:sz w:val="19"/>
          <w:szCs w:val="19"/>
        </w:rPr>
        <w:t xml:space="preserve">This policy is reviewed at least annually by the policy owner, and additionally following material changes in the organisation’s use of AI, the threat landscape, applicable law or after a significant incident. Changes are approved by the designated authority and communicated to affected personnel. The revision history is maintained on the Document Control page.</w:t>
      </w:r>
    </w:p>
    <w:p>
      <w:pPr>
        <w:pStyle w:val="Heading1"/>
        <w:keepNext/>
        <w:pBdr>
          <w:bottom w:val="single" w:color="D30D50" w:sz="14" w:space="6"/>
        </w:pBdr>
        <w:spacing w:after="140" w:before="320"/>
      </w:pPr>
      <w:r>
        <w:rPr>
          <w:rFonts w:ascii="Calibri" w:cs="Calibri" w:eastAsia="Calibri" w:hAnsi="Calibri"/>
          <w:b/>
          <w:bCs/>
          <w:color w:val="D30D50"/>
          <w:sz w:val="28"/>
          <w:szCs w:val="28"/>
        </w:rPr>
        <w:t xml:space="preserve">A   </w:t>
      </w:r>
      <w:r>
        <w:rPr>
          <w:rFonts w:ascii="Calibri" w:cs="Calibri" w:eastAsia="Calibri" w:hAnsi="Calibri"/>
          <w:b/>
          <w:bCs/>
          <w:color w:val="152540"/>
          <w:sz w:val="28"/>
          <w:szCs w:val="28"/>
        </w:rPr>
        <w:t xml:space="preserve">Appendix A — AI System Inventory / Register</w:t>
      </w:r>
    </w:p>
    <w:p>
      <w:pPr>
        <w:spacing w:after="120"/>
        <w:jc w:val="both"/>
      </w:pPr>
      <w:r>
        <w:rPr>
          <w:rFonts w:ascii="Calibri" w:cs="Calibri" w:eastAsia="Calibri" w:hAnsi="Calibri"/>
          <w:color w:val="1F2733"/>
          <w:sz w:val="19"/>
          <w:szCs w:val="19"/>
        </w:rPr>
        <w:t xml:space="preserve">Maintain a central register of all AI systems. The fields below are the recommended minimum; extend as needed.</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2900"/>
        <w:gridCol w:w="6960"/>
      </w:tblGrid>
      <w:tr>
        <w:trPr>
          <w:tblHeader/>
        </w:trPr>
        <w:tc>
          <w:tcPr>
            <w:tcW w:type="dxa" w:w="29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Field</w:t>
            </w:r>
          </w:p>
        </w:tc>
        <w:tc>
          <w:tcPr>
            <w:tcW w:type="dxa" w:w="696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Description</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System ID / name</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Unique identifier and descriptive name.</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Owner</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Accountable system owner and business unit.</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Purpose / use case</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What the system does and the decisions it supports.</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Type</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Predictive / generative / agentic; in-house / third-party / embedded.</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Data used</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Data categories, sources, classification and personal-data flag.</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Provider / model</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Vendor, model/version, hosting location.</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Risk tier</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Prohibited / High / Limited / Minimal, and statutory classification.</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Assessments</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Risk assessment and DPIA references and dates.</w:t>
            </w:r>
          </w:p>
        </w:tc>
      </w:tr>
      <w:tr>
        <w:tc>
          <w:tcPr>
            <w:tcW w:type="dxa" w:w="29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Controls / oversight</w:t>
            </w:r>
          </w:p>
        </w:tc>
        <w:tc>
          <w:tcPr>
            <w:tcW w:type="dxa" w:w="696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Key controls and human-oversight arrangements.</w:t>
            </w:r>
          </w:p>
        </w:tc>
      </w:tr>
      <w:tr>
        <w:tc>
          <w:tcPr>
            <w:tcW w:type="dxa" w:w="29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Status &amp; review date</w:t>
            </w:r>
          </w:p>
        </w:tc>
        <w:tc>
          <w:tcPr>
            <w:tcW w:type="dxa" w:w="696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Lifecycle status and next review date.</w:t>
            </w:r>
          </w:p>
        </w:tc>
      </w:tr>
    </w:tbl>
    <w:p>
      <w:pPr>
        <w:pStyle w:val="Heading1"/>
        <w:keepNext/>
        <w:pBdr>
          <w:bottom w:val="single" w:color="D30D50" w:sz="14" w:space="6"/>
        </w:pBdr>
        <w:spacing w:after="140" w:before="320"/>
      </w:pPr>
      <w:r>
        <w:rPr>
          <w:rFonts w:ascii="Calibri" w:cs="Calibri" w:eastAsia="Calibri" w:hAnsi="Calibri"/>
          <w:b/>
          <w:bCs/>
          <w:color w:val="D30D50"/>
          <w:sz w:val="28"/>
          <w:szCs w:val="28"/>
        </w:rPr>
        <w:t xml:space="preserve">B   </w:t>
      </w:r>
      <w:r>
        <w:rPr>
          <w:rFonts w:ascii="Calibri" w:cs="Calibri" w:eastAsia="Calibri" w:hAnsi="Calibri"/>
          <w:b/>
          <w:bCs/>
          <w:color w:val="152540"/>
          <w:sz w:val="28"/>
          <w:szCs w:val="28"/>
        </w:rPr>
        <w:t xml:space="preserve">Appendix B — AI Use-Case Intake &amp; Approval Form</w:t>
      </w:r>
    </w:p>
    <w:p>
      <w:pPr>
        <w:spacing w:after="120"/>
        <w:jc w:val="both"/>
      </w:pPr>
      <w:r>
        <w:rPr>
          <w:rFonts w:ascii="Calibri" w:cs="Calibri" w:eastAsia="Calibri" w:hAnsi="Calibri"/>
          <w:color w:val="1F2733"/>
          <w:sz w:val="19"/>
          <w:szCs w:val="19"/>
        </w:rPr>
        <w:t xml:space="preserve">Complete for every proposed AI use case before development or procurement.</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3700"/>
        <w:gridCol w:w="6160"/>
      </w:tblGrid>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Requested by / date</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[Name — Date]</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Proposed use case</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[Description of what the AI will do and why]</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Expected benefits</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[Business value]</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Data to be used</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[Categories, sources, classification, personal data Y/N]</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Users / affected parties</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[Who uses it; who is affected]</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Provider / build vs. buy</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[In-house / vendor / embedded]</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Proposed risk tier</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[Prohibited / High / Limited / Minimal]</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Key risks identified</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[Security, privacy, safety, compliance]</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Proposed controls / oversight</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[Mitigations and human oversight]</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DPIA required?</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[Yes / No — reference]</w:t>
            </w:r>
          </w:p>
        </w:tc>
      </w:tr>
      <w:tr>
        <w:tc>
          <w:tcPr>
            <w:tcW w:type="dxa" w:w="37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52540"/>
                <w:sz w:val="17"/>
                <w:szCs w:val="17"/>
              </w:rPr>
              <w:t xml:space="preserve">Decision</w:t>
            </w:r>
          </w:p>
        </w:tc>
        <w:tc>
          <w:tcPr>
            <w:tcW w:type="dxa" w:w="6160"/>
            <w:tcMar>
              <w:top w:type="dxa" w:w="60"/>
              <w:left w:type="dxa" w:w="90"/>
              <w:bottom w:type="dxa" w:w="60"/>
              <w:right w:type="dxa" w:w="90"/>
            </w:tcMar>
            <w:vAlign w:val="center"/>
          </w:tcPr>
          <w:p>
            <w:pPr>
              <w:spacing w:after="0"/>
              <w:jc w:val="left"/>
            </w:pPr>
            <w:r>
              <w:rPr>
                <w:rFonts w:ascii="Calibri" w:cs="Calibri" w:eastAsia="Calibri" w:hAnsi="Calibri"/>
                <w:b/>
                <w:bCs/>
                <w:color w:val="D30D50"/>
                <w:sz w:val="17"/>
                <w:szCs w:val="17"/>
              </w:rPr>
              <w:t xml:space="preserve">[Approved / Rejected / Conditional]</w:t>
            </w:r>
            <w:r>
              <w:rPr>
                <w:rFonts w:ascii="Calibri" w:cs="Calibri" w:eastAsia="Calibri" w:hAnsi="Calibri"/>
                <w:color w:val="1F2733"/>
                <w:sz w:val="17"/>
                <w:szCs w:val="17"/>
              </w:rPr>
              <w:t xml:space="preserve"> — approver, date, conditions</w:t>
            </w:r>
          </w:p>
        </w:tc>
      </w:tr>
    </w:tbl>
    <w:p>
      <w:pPr>
        <w:pStyle w:val="Heading1"/>
        <w:keepNext/>
        <w:pBdr>
          <w:bottom w:val="single" w:color="D30D50" w:sz="14" w:space="6"/>
        </w:pBdr>
        <w:spacing w:after="140" w:before="320"/>
      </w:pPr>
      <w:r>
        <w:rPr>
          <w:rFonts w:ascii="Calibri" w:cs="Calibri" w:eastAsia="Calibri" w:hAnsi="Calibri"/>
          <w:b/>
          <w:bCs/>
          <w:color w:val="D30D50"/>
          <w:sz w:val="28"/>
          <w:szCs w:val="28"/>
        </w:rPr>
        <w:t xml:space="preserve">C   </w:t>
      </w:r>
      <w:r>
        <w:rPr>
          <w:rFonts w:ascii="Calibri" w:cs="Calibri" w:eastAsia="Calibri" w:hAnsi="Calibri"/>
          <w:b/>
          <w:bCs/>
          <w:color w:val="152540"/>
          <w:sz w:val="28"/>
          <w:szCs w:val="28"/>
        </w:rPr>
        <w:t xml:space="preserve">Appendix C — Control Checklist &amp; Framework Crosswalk</w:t>
      </w:r>
    </w:p>
    <w:p>
      <w:pPr>
        <w:spacing w:after="120"/>
        <w:jc w:val="both"/>
      </w:pPr>
      <w:r>
        <w:rPr>
          <w:rFonts w:ascii="Calibri" w:cs="Calibri" w:eastAsia="Calibri" w:hAnsi="Calibri"/>
          <w:color w:val="1F2733"/>
          <w:sz w:val="19"/>
          <w:szCs w:val="19"/>
        </w:rPr>
        <w:t xml:space="preserve">A baseline pre-deployment checklist, mapped to common frameworks. Apply controls in proportion to the system’s risk tier and record evidence.</w:t>
      </w:r>
    </w:p>
    <w:tbl>
      <w:tblPr>
        <w:tblW w:type="dxa" w:w="9860"/>
        <w:tblBorders>
          <w:top w:val="single" w:color="D5DBE4" w:sz="4"/>
          <w:left w:val="single" w:color="D5DBE4" w:sz="4"/>
          <w:bottom w:val="single" w:color="D5DBE4" w:sz="4"/>
          <w:right w:val="single" w:color="D5DBE4" w:sz="4"/>
          <w:insideH w:val="single" w:color="D5DBE4" w:sz="4"/>
          <w:insideV w:val="single" w:color="D5DBE4" w:sz="4"/>
        </w:tblBorders>
      </w:tblPr>
      <w:tblGrid>
        <w:gridCol w:w="5400"/>
        <w:gridCol w:w="1060"/>
        <w:gridCol w:w="3400"/>
      </w:tblGrid>
      <w:tr>
        <w:trPr>
          <w:tblHeader/>
        </w:trPr>
        <w:tc>
          <w:tcPr>
            <w:tcW w:type="dxa" w:w="54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Control</w:t>
            </w:r>
          </w:p>
        </w:tc>
        <w:tc>
          <w:tcPr>
            <w:tcW w:type="dxa" w:w="106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Done</w:t>
            </w:r>
          </w:p>
        </w:tc>
        <w:tc>
          <w:tcPr>
            <w:tcW w:type="dxa" w:w="3400"/>
            <w:shd w:fill="D30D50" w:color="auto" w:val="clear"/>
            <w:tcMar>
              <w:top w:type="dxa" w:w="60"/>
              <w:left w:type="dxa" w:w="90"/>
              <w:bottom w:type="dxa" w:w="60"/>
              <w:right w:type="dxa" w:w="90"/>
            </w:tcMar>
            <w:vAlign w:val="center"/>
          </w:tcPr>
          <w:p>
            <w:pPr>
              <w:spacing w:after="0"/>
              <w:jc w:val="left"/>
            </w:pPr>
            <w:r>
              <w:rPr>
                <w:rFonts w:ascii="Calibri" w:cs="Calibri" w:eastAsia="Calibri" w:hAnsi="Calibri"/>
                <w:b/>
                <w:bCs/>
                <w:color w:val="FFFFFF"/>
                <w:sz w:val="17"/>
                <w:szCs w:val="17"/>
              </w:rPr>
              <w:t xml:space="preserve">Framework reference</w:t>
            </w:r>
          </w:p>
        </w:tc>
      </w:tr>
      <w:tr>
        <w:tc>
          <w:tcPr>
            <w:tcW w:type="dxa" w:w="5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System registered in the AI inventory</w:t>
            </w:r>
          </w:p>
        </w:tc>
        <w:tc>
          <w:tcPr>
            <w:tcW w:type="dxa" w:w="106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ISO 42001 · NIST GOVERN</w:t>
            </w:r>
          </w:p>
        </w:tc>
      </w:tr>
      <w:tr>
        <w:tc>
          <w:tcPr>
            <w:tcW w:type="dxa" w:w="5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Risk assessment completed and approved</w:t>
            </w:r>
          </w:p>
        </w:tc>
        <w:tc>
          <w:tcPr>
            <w:tcW w:type="dxa" w:w="106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ISO 23894 · NIST MAP/MEASURE</w:t>
            </w:r>
          </w:p>
        </w:tc>
      </w:tr>
      <w:tr>
        <w:tc>
          <w:tcPr>
            <w:tcW w:type="dxa" w:w="5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DPIA completed where personal data is processed</w:t>
            </w:r>
          </w:p>
        </w:tc>
        <w:tc>
          <w:tcPr>
            <w:tcW w:type="dxa" w:w="106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GDPR / revFADP</w:t>
            </w:r>
          </w:p>
        </w:tc>
      </w:tr>
      <w:tr>
        <w:tc>
          <w:tcPr>
            <w:tcW w:type="dxa" w:w="5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Risk tier and statutory classification recorded</w:t>
            </w:r>
          </w:p>
        </w:tc>
        <w:tc>
          <w:tcPr>
            <w:tcW w:type="dxa" w:w="106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EU AI Act</w:t>
            </w:r>
          </w:p>
        </w:tc>
      </w:tr>
      <w:tr>
        <w:tc>
          <w:tcPr>
            <w:tcW w:type="dxa" w:w="5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Data sources lawful, minimised and documented</w:t>
            </w:r>
          </w:p>
        </w:tc>
        <w:tc>
          <w:tcPr>
            <w:tcW w:type="dxa" w:w="106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ISO 42001 · GDPR</w:t>
            </w:r>
          </w:p>
        </w:tc>
      </w:tr>
      <w:tr>
        <w:tc>
          <w:tcPr>
            <w:tcW w:type="dxa" w:w="5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Security testing incl. prompt-injection / adversarial</w:t>
            </w:r>
          </w:p>
        </w:tc>
        <w:tc>
          <w:tcPr>
            <w:tcW w:type="dxa" w:w="106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OWASP LLM · MITRE ATLAS</w:t>
            </w:r>
          </w:p>
        </w:tc>
      </w:tr>
      <w:tr>
        <w:tc>
          <w:tcPr>
            <w:tcW w:type="dxa" w:w="5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Output validation and secure output handling in place</w:t>
            </w:r>
          </w:p>
        </w:tc>
        <w:tc>
          <w:tcPr>
            <w:tcW w:type="dxa" w:w="106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OWASP LLM</w:t>
            </w:r>
          </w:p>
        </w:tc>
      </w:tr>
      <w:tr>
        <w:tc>
          <w:tcPr>
            <w:tcW w:type="dxa" w:w="5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Least-privilege access, MFA and secrets management</w:t>
            </w:r>
          </w:p>
        </w:tc>
        <w:tc>
          <w:tcPr>
            <w:tcW w:type="dxa" w:w="106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ISO 27001</w:t>
            </w:r>
          </w:p>
        </w:tc>
      </w:tr>
      <w:tr>
        <w:tc>
          <w:tcPr>
            <w:tcW w:type="dxa" w:w="5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Logging and monitoring enabled and integrated</w:t>
            </w:r>
          </w:p>
        </w:tc>
        <w:tc>
          <w:tcPr>
            <w:tcW w:type="dxa" w:w="106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ISO 27001 · NIST MANAGE</w:t>
            </w:r>
          </w:p>
        </w:tc>
      </w:tr>
      <w:tr>
        <w:tc>
          <w:tcPr>
            <w:tcW w:type="dxa" w:w="5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Human oversight and transparency defined</w:t>
            </w:r>
          </w:p>
        </w:tc>
        <w:tc>
          <w:tcPr>
            <w:tcW w:type="dxa" w:w="106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EU AI Act · NIST GOVERN</w:t>
            </w:r>
          </w:p>
        </w:tc>
      </w:tr>
      <w:tr>
        <w:tc>
          <w:tcPr>
            <w:tcW w:type="dxa" w:w="5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Third-party AI supplier assessed and contracted</w:t>
            </w:r>
          </w:p>
        </w:tc>
        <w:tc>
          <w:tcPr>
            <w:tcW w:type="dxa" w:w="106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ISO 27001 A.5.19–A.5.23</w:t>
            </w:r>
          </w:p>
        </w:tc>
      </w:tr>
      <w:tr>
        <w:tc>
          <w:tcPr>
            <w:tcW w:type="dxa" w:w="5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Incident response covers AI-specific scenarios</w:t>
            </w:r>
          </w:p>
        </w:tc>
        <w:tc>
          <w:tcPr>
            <w:tcW w:type="dxa" w:w="1060"/>
            <w:shd w:fill="F5F7FA" w:color="auto" w:val="clear"/>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shd w:fill="F5F7FA" w:color="auto" w:val="clear"/>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ISO 27001 · NIST MANAGE</w:t>
            </w:r>
          </w:p>
        </w:tc>
      </w:tr>
      <w:tr>
        <w:tc>
          <w:tcPr>
            <w:tcW w:type="dxa" w:w="5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Owner sign-off obtained before deployment</w:t>
            </w:r>
          </w:p>
        </w:tc>
        <w:tc>
          <w:tcPr>
            <w:tcW w:type="dxa" w:w="1060"/>
            <w:tcMar>
              <w:top w:type="dxa" w:w="60"/>
              <w:left w:type="dxa" w:w="90"/>
              <w:bottom w:type="dxa" w:w="60"/>
              <w:right w:type="dxa" w:w="90"/>
            </w:tcMar>
            <w:vAlign w:val="center"/>
          </w:tcPr>
          <w:p>
            <w:pPr>
              <w:spacing w:after="0"/>
              <w:jc w:val="center"/>
            </w:pPr>
            <w:r>
              <w:rPr>
                <w:rFonts w:ascii="Calibri" w:cs="Calibri" w:eastAsia="Calibri" w:hAnsi="Calibri"/>
                <w:color w:val="1F2733"/>
                <w:sz w:val="17"/>
                <w:szCs w:val="17"/>
              </w:rPr>
              <w:t xml:space="preserve">☐</w:t>
            </w:r>
          </w:p>
        </w:tc>
        <w:tc>
          <w:tcPr>
            <w:tcW w:type="dxa" w:w="3400"/>
            <w:tcMar>
              <w:top w:type="dxa" w:w="60"/>
              <w:left w:type="dxa" w:w="90"/>
              <w:bottom w:type="dxa" w:w="60"/>
              <w:right w:type="dxa" w:w="90"/>
            </w:tcMar>
            <w:vAlign w:val="center"/>
          </w:tcPr>
          <w:p>
            <w:pPr>
              <w:spacing w:after="0"/>
              <w:jc w:val="left"/>
            </w:pPr>
            <w:r>
              <w:rPr>
                <w:rFonts w:ascii="Calibri" w:cs="Calibri" w:eastAsia="Calibri" w:hAnsi="Calibri"/>
                <w:color w:val="1F2733"/>
                <w:sz w:val="17"/>
                <w:szCs w:val="17"/>
              </w:rPr>
              <w:t xml:space="preserve">ISO 42001</w:t>
            </w:r>
          </w:p>
        </w:tc>
      </w:tr>
    </w:tbl>
    <w:p>
      <w:pPr>
        <w:spacing w:after="120"/>
      </w:pPr>
    </w:p>
    <w:tbl>
      <w:tblPr>
        <w:tblW w:type="dxa" w:w="9860"/>
        <w:tblBorders>
          <w:top w:val="none" w:color="FFFFFF" w:sz="0"/>
          <w:left w:val="none" w:color="FFFFFF" w:sz="0"/>
          <w:bottom w:val="none" w:color="FFFFFF" w:sz="0"/>
          <w:right w:val="none" w:color="FFFFFF" w:sz="0"/>
          <w:insideH w:val="none" w:color="FFFFFF" w:sz="0"/>
          <w:insideV w:val="none" w:color="FFFFFF" w:sz="0"/>
        </w:tblBorders>
      </w:tblPr>
      <w:tblGrid>
        <w:gridCol w:w="9860"/>
      </w:tblGrid>
      <w:tr>
        <w:tc>
          <w:tcPr>
            <w:tcW w:type="dxa" w:w="9860"/>
            <w:tcBorders>
              <w:top w:val="none" w:color="FFFFFF" w:sz="0"/>
              <w:left w:val="single" w:color="3A5F9E" w:sz="26"/>
              <w:bottom w:val="none" w:color="FFFFFF" w:sz="0"/>
              <w:right w:val="none" w:color="FFFFFF" w:sz="0"/>
            </w:tcBorders>
            <w:shd w:fill="EEF2FB" w:color="auto" w:val="clear"/>
            <w:tcMar>
              <w:top w:type="dxa" w:w="120"/>
              <w:left w:type="dxa" w:w="200"/>
              <w:bottom w:type="dxa" w:w="120"/>
              <w:right w:type="dxa" w:w="160"/>
            </w:tcMar>
          </w:tcPr>
          <w:p>
            <w:pPr>
              <w:spacing w:after="60"/>
            </w:pPr>
            <w:r>
              <w:rPr>
                <w:rFonts w:ascii="Calibri" w:cs="Calibri" w:eastAsia="Calibri" w:hAnsi="Calibri"/>
                <w:b/>
                <w:bCs/>
                <w:color w:val="3A5F9E"/>
                <w:spacing w:val="20"/>
                <w:sz w:val="15"/>
                <w:szCs w:val="15"/>
              </w:rPr>
              <w:t xml:space="preserve">END OF TEMPLATE</w:t>
            </w:r>
          </w:p>
          <w:p>
            <w:pPr>
              <w:spacing w:after="40"/>
              <w:jc w:val="both"/>
            </w:pPr>
            <w:r>
              <w:rPr>
                <w:rFonts w:ascii="Calibri" w:cs="Calibri" w:eastAsia="Calibri" w:hAnsi="Calibri"/>
                <w:color w:val="1F2733"/>
                <w:sz w:val="17"/>
                <w:szCs w:val="17"/>
              </w:rPr>
              <w:t xml:space="preserve">This template provides a structure aligned to recognised AI governance and security frameworks. It is not legal advice. Before adoption, adapt it to your organisation and have it reviewed by qualified security, data-protection and legal professionals against the obligations that apply to you.</w:t>
            </w:r>
          </w:p>
        </w:tc>
      </w:tr>
    </w:tbl>
    <w:sectPr>
      <w:headerReference w:type="default" r:id="rId7"/>
      <w:footerReference w:type="default" r:id="rId8"/>
      <w:pgSz w:w="11905" w:h="16837" w:orient="portrait"/>
      <w:pgMar w:top="1247" w:right="1020" w:bottom="1133" w:left="102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5DBE4" w:sz="4" w:space="4"/>
      </w:pBdr>
      <w:tabs>
        <w:tab w:val="center" w:pos="4930"/>
        <w:tab w:val="right" w:pos="9860"/>
      </w:tabs>
    </w:pPr>
    <w:r>
      <w:rPr>
        <w:rFonts w:ascii="Calibri" w:cs="Calibri" w:eastAsia="Calibri" w:hAnsi="Calibri"/>
        <w:color w:val="8A93A1"/>
        <w:sz w:val="14"/>
        <w:szCs w:val="14"/>
      </w:rPr>
      <w:t xml:space="preserve">[ORGANISATION NAME] — Internal Governance Document</w:t>
    </w:r>
    <w:r>
      <w:rPr>
        <w:rFonts w:ascii="Calibri" w:cs="Calibri" w:eastAsia="Calibri" w:hAnsi="Calibri"/>
        <w:color w:val="8A93A1"/>
        <w:sz w:val="14"/>
        <w:szCs w:val="14"/>
      </w:rPr>
      <w:t xml:space="preserve">	v1.0 · 2026	</w:t>
    </w:r>
    <w:r>
      <w:rPr>
        <w:rFonts w:ascii="Calibri" w:cs="Calibri" w:eastAsia="Calibri" w:hAnsi="Calibri"/>
        <w:color w:val="8A93A1"/>
        <w:sz w:val="14"/>
        <w:szCs w:val="14"/>
      </w:rPr>
      <w:t xml:space="preserve">Page </w:t>
    </w:r>
    <w:r>
      <w:rPr>
        <w:rFonts w:ascii="Calibri" w:cs="Calibri" w:eastAsia="Calibri" w:hAnsi="Calibri"/>
        <w:color w:val="8A93A1"/>
        <w:sz w:val="14"/>
        <w:szCs w:val="14"/>
      </w:rPr>
      <w:fldChar w:fldCharType="begin"/>
      <w:instrText xml:space="preserve">PAGE</w:instrText>
      <w:fldChar w:fldCharType="separate"/>
      <w:fldChar w:fldCharType="end"/>
    </w:r>
    <w:r>
      <w:rPr>
        <w:rFonts w:ascii="Calibri" w:cs="Calibri" w:eastAsia="Calibri" w:hAnsi="Calibri"/>
        <w:color w:val="8A93A1"/>
        <w:sz w:val="14"/>
        <w:szCs w:val="14"/>
      </w:rPr>
      <w:t xml:space="preserve"> of </w:t>
    </w:r>
    <w:r>
      <w:rPr>
        <w:rFonts w:ascii="Calibri" w:cs="Calibri" w:eastAsia="Calibri" w:hAnsi="Calibri"/>
        <w:color w:val="8A93A1"/>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5DBE4" w:sz="4" w:space="4"/>
      </w:pBdr>
      <w:tabs>
        <w:tab w:val="right" w:pos="9860"/>
      </w:tabs>
    </w:pPr>
    <w:r>
      <w:rPr>
        <w:rFonts w:ascii="Calibri" w:cs="Calibri" w:eastAsia="Calibri" w:hAnsi="Calibri"/>
        <w:color w:val="8A93A1"/>
        <w:sz w:val="15"/>
        <w:szCs w:val="15"/>
      </w:rPr>
      <w:t xml:space="preserve">AI Security Policy Template</w:t>
    </w:r>
    <w:r>
      <w:rPr>
        <w:rFonts w:ascii="Calibri" w:cs="Calibri" w:eastAsia="Calibri" w:hAnsi="Calibri"/>
        <w:color w:val="8A93A1"/>
        <w:sz w:val="15"/>
        <w:szCs w:val="15"/>
      </w:rPr>
      <w:t xml:space="preserve">	Classification: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color w:val="D30D50"/>
      </w:rPr>
    </w:lvl>
  </w:abstractNum>
  <w:abstractNum w:abstractNumId="3" w15:restartNumberingAfterBreak="0">
    <w:multiLevelType w:val="hybridMultilevel"/>
    <w:lvl w:ilvl="0" w15:tentative="1">
      <w:start w:val="1"/>
      <w:numFmt w:val="bullet"/>
      <w:lvlText w:val="•"/>
      <w:lvlJc w:val="left"/>
      <w:pPr>
        <w:ind w:left="300" w:hanging="190"/>
      </w:pPr>
      <w:rPr>
        <w:color w:val="A50A3E"/>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7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320"/>
    </w:pPr>
    <w:rPr>
      <w:rFonts w:ascii="Calibri" w:cs="Calibri" w:eastAsia="Calibri" w:hAnsi="Calibri"/>
      <w:b/>
      <w:bCs/>
      <w:color w:val="152540"/>
      <w:sz w:val="28"/>
      <w:szCs w:val="28"/>
    </w:rPr>
  </w:style>
  <w:style w:type="paragraph" w:styleId="Heading2">
    <w:name w:val="Heading 2"/>
    <w:basedOn w:val="Normal"/>
    <w:next w:val="Normal"/>
    <w:qFormat/>
    <w:pPr>
      <w:spacing w:after="90" w:before="220"/>
    </w:pPr>
    <w:rPr>
      <w:rFonts w:ascii="Calibri" w:cs="Calibri" w:eastAsia="Calibri" w:hAnsi="Calibri"/>
      <w:b/>
      <w:bCs/>
      <w:color w:val="243A5E"/>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Security Policy Template (2026, EN)</dc:title>
  <dc:creator>[Organisation Name] — Information Security</dc:creator>
  <dc:description>Template for governance, security, responsibilities and controls for organisational use of AI</dc:description>
  <cp:lastModifiedBy>Un-named</cp:lastModifiedBy>
  <cp:revision>1</cp:revision>
  <dcterms:created xsi:type="dcterms:W3CDTF">2026-07-28T09:20:40.486Z</dcterms:created>
  <dcterms:modified xsi:type="dcterms:W3CDTF">2026-07-28T09:20:40.501Z</dcterms:modified>
</cp:coreProperties>
</file>

<file path=docProps/custom.xml><?xml version="1.0" encoding="utf-8"?>
<Properties xmlns="http://schemas.openxmlformats.org/officeDocument/2006/custom-properties" xmlns:vt="http://schemas.openxmlformats.org/officeDocument/2006/docPropsVTypes"/>
</file>